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7A7B62" w14:textId="77777777" w:rsidR="00A160B2" w:rsidRDefault="00A160B2" w:rsidP="00A160B2">
      <w:pPr>
        <w:spacing w:after="480"/>
      </w:pPr>
      <w:r>
        <w:rPr>
          <w:rFonts w:ascii="Arial Black" w:hAnsi="Arial Black"/>
          <w:noProof/>
          <w:color w:val="999999"/>
          <w:sz w:val="36"/>
          <w:szCs w:val="36"/>
          <w:lang w:eastAsia="en-GB"/>
        </w:rPr>
        <w:drawing>
          <wp:inline distT="0" distB="0" distL="0" distR="0" wp14:anchorId="633373E7" wp14:editId="47F26233">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rrow Council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inline>
        </w:drawing>
      </w:r>
    </w:p>
    <w:tbl>
      <w:tblPr>
        <w:tblStyle w:val="Style1"/>
        <w:tblW w:w="0" w:type="auto"/>
        <w:tblLook w:val="0000" w:firstRow="0" w:lastRow="0" w:firstColumn="0" w:lastColumn="0" w:noHBand="0" w:noVBand="0"/>
        <w:tblCaption w:val="Cabinet report summary details"/>
      </w:tblPr>
      <w:tblGrid>
        <w:gridCol w:w="3381"/>
        <w:gridCol w:w="4928"/>
      </w:tblGrid>
      <w:tr w:rsidR="00A160B2" w14:paraId="3E9231EB" w14:textId="77777777" w:rsidTr="006C3150">
        <w:trPr>
          <w:tblHeader/>
        </w:trPr>
        <w:tc>
          <w:tcPr>
            <w:tcW w:w="3456" w:type="dxa"/>
            <w:tcBorders>
              <w:bottom w:val="single" w:sz="18" w:space="0" w:color="auto"/>
            </w:tcBorders>
          </w:tcPr>
          <w:p w14:paraId="2EDC0AA9" w14:textId="77777777" w:rsidR="00A160B2" w:rsidRPr="00B805DB" w:rsidRDefault="00A160B2" w:rsidP="006C3150">
            <w:pPr>
              <w:pStyle w:val="Heading1"/>
              <w:spacing w:after="240"/>
              <w:outlineLvl w:val="0"/>
            </w:pPr>
            <w:r>
              <w:t>Report f</w:t>
            </w:r>
            <w:r w:rsidRPr="00C869F3">
              <w:t>or:</w:t>
            </w:r>
          </w:p>
        </w:tc>
        <w:tc>
          <w:tcPr>
            <w:tcW w:w="5054" w:type="dxa"/>
            <w:tcBorders>
              <w:bottom w:val="single" w:sz="18" w:space="0" w:color="auto"/>
            </w:tcBorders>
          </w:tcPr>
          <w:p w14:paraId="55A88F66" w14:textId="118EDF2E" w:rsidR="00A160B2" w:rsidRPr="00A160B2" w:rsidRDefault="00DA0A57" w:rsidP="006C3150">
            <w:pPr>
              <w:pStyle w:val="Heading1"/>
              <w:outlineLvl w:val="0"/>
              <w:rPr>
                <w:color w:val="0000FF"/>
                <w:szCs w:val="24"/>
              </w:rPr>
            </w:pPr>
            <w:r w:rsidRPr="00DA0A57">
              <w:t>Governance, Audit, Risk Management and Standards Committee (GARMS)</w:t>
            </w:r>
          </w:p>
        </w:tc>
      </w:tr>
      <w:tr w:rsidR="00A160B2" w14:paraId="5281F5A9" w14:textId="77777777" w:rsidTr="006C3150">
        <w:tc>
          <w:tcPr>
            <w:tcW w:w="3456" w:type="dxa"/>
            <w:tcBorders>
              <w:top w:val="single" w:sz="18" w:space="0" w:color="auto"/>
            </w:tcBorders>
          </w:tcPr>
          <w:p w14:paraId="0991D380" w14:textId="77777777" w:rsidR="00A160B2" w:rsidRPr="00F92398" w:rsidRDefault="00A160B2" w:rsidP="006C3150">
            <w:pPr>
              <w:pStyle w:val="Infotext"/>
              <w:rPr>
                <w:rFonts w:ascii="Arial Black" w:hAnsi="Arial Black"/>
              </w:rPr>
            </w:pPr>
            <w:r w:rsidRPr="00F92398">
              <w:rPr>
                <w:rFonts w:ascii="Arial Black" w:hAnsi="Arial Black"/>
              </w:rPr>
              <w:t>Date</w:t>
            </w:r>
            <w:r>
              <w:rPr>
                <w:rFonts w:ascii="Arial Black" w:hAnsi="Arial Black"/>
              </w:rPr>
              <w:t xml:space="preserve"> of Meeting</w:t>
            </w:r>
            <w:r w:rsidRPr="00F92398">
              <w:rPr>
                <w:rFonts w:ascii="Arial Black" w:hAnsi="Arial Black"/>
              </w:rPr>
              <w:t>:</w:t>
            </w:r>
          </w:p>
          <w:p w14:paraId="3A6B81C9" w14:textId="77777777" w:rsidR="00A160B2" w:rsidRPr="00F92398" w:rsidRDefault="00A160B2" w:rsidP="006C3150">
            <w:pPr>
              <w:pStyle w:val="Infotext"/>
              <w:rPr>
                <w:rFonts w:ascii="Arial Black" w:hAnsi="Arial Black" w:cs="Arial"/>
              </w:rPr>
            </w:pPr>
          </w:p>
        </w:tc>
        <w:tc>
          <w:tcPr>
            <w:tcW w:w="5054" w:type="dxa"/>
            <w:tcBorders>
              <w:top w:val="single" w:sz="18" w:space="0" w:color="auto"/>
            </w:tcBorders>
          </w:tcPr>
          <w:p w14:paraId="495EBCE8" w14:textId="53F0AF11" w:rsidR="00A160B2" w:rsidRDefault="00C57920" w:rsidP="006C3150">
            <w:pPr>
              <w:pStyle w:val="Infotext"/>
              <w:rPr>
                <w:rFonts w:cs="Arial"/>
              </w:rPr>
            </w:pPr>
            <w:r>
              <w:rPr>
                <w:rFonts w:cs="Arial"/>
              </w:rPr>
              <w:t>30</w:t>
            </w:r>
            <w:r w:rsidRPr="00C57920">
              <w:rPr>
                <w:rFonts w:cs="Arial"/>
                <w:vertAlign w:val="superscript"/>
              </w:rPr>
              <w:t>th</w:t>
            </w:r>
            <w:r>
              <w:rPr>
                <w:rFonts w:cs="Arial"/>
              </w:rPr>
              <w:t xml:space="preserve"> November </w:t>
            </w:r>
            <w:r w:rsidR="00B97662" w:rsidRPr="00B97662">
              <w:rPr>
                <w:rFonts w:cs="Arial"/>
              </w:rPr>
              <w:t>2021</w:t>
            </w:r>
          </w:p>
        </w:tc>
      </w:tr>
      <w:tr w:rsidR="00A160B2" w14:paraId="79B879D4" w14:textId="77777777" w:rsidTr="006C3150">
        <w:tc>
          <w:tcPr>
            <w:tcW w:w="3456" w:type="dxa"/>
          </w:tcPr>
          <w:p w14:paraId="5EBA2504" w14:textId="77777777" w:rsidR="00A160B2" w:rsidRPr="00F92398" w:rsidRDefault="00A160B2" w:rsidP="006C3150">
            <w:pPr>
              <w:pStyle w:val="Infotext"/>
              <w:rPr>
                <w:rFonts w:ascii="Arial Black" w:hAnsi="Arial Black" w:cs="Arial"/>
              </w:rPr>
            </w:pPr>
            <w:r w:rsidRPr="00F92398">
              <w:rPr>
                <w:rFonts w:ascii="Arial Black" w:hAnsi="Arial Black" w:cs="Arial"/>
              </w:rPr>
              <w:t>Subject:</w:t>
            </w:r>
          </w:p>
          <w:p w14:paraId="262AF561" w14:textId="77777777" w:rsidR="00A160B2" w:rsidRPr="00F92398" w:rsidRDefault="00A160B2" w:rsidP="006C3150">
            <w:pPr>
              <w:pStyle w:val="Infotext"/>
              <w:rPr>
                <w:rFonts w:ascii="Arial Black" w:hAnsi="Arial Black"/>
              </w:rPr>
            </w:pPr>
          </w:p>
        </w:tc>
        <w:tc>
          <w:tcPr>
            <w:tcW w:w="5054" w:type="dxa"/>
          </w:tcPr>
          <w:p w14:paraId="3A9D3AD2" w14:textId="21AD1C57" w:rsidR="00A160B2" w:rsidRDefault="005C3531" w:rsidP="006C3150">
            <w:pPr>
              <w:pStyle w:val="Infotext"/>
              <w:rPr>
                <w:rFonts w:cs="Arial"/>
              </w:rPr>
            </w:pPr>
            <w:r>
              <w:rPr>
                <w:rFonts w:cs="Arial"/>
              </w:rPr>
              <w:t xml:space="preserve">Information Report - </w:t>
            </w:r>
            <w:r w:rsidR="00C57920">
              <w:rPr>
                <w:rFonts w:cs="Arial"/>
              </w:rPr>
              <w:t xml:space="preserve">Audit Completion of </w:t>
            </w:r>
            <w:r w:rsidR="00B97662" w:rsidRPr="00B97662">
              <w:rPr>
                <w:rFonts w:cs="Arial"/>
              </w:rPr>
              <w:t>Statement of Accounts 20</w:t>
            </w:r>
            <w:r w:rsidR="00C57920">
              <w:rPr>
                <w:rFonts w:cs="Arial"/>
              </w:rPr>
              <w:t>19-20</w:t>
            </w:r>
            <w:r w:rsidR="001720F1">
              <w:rPr>
                <w:rFonts w:cs="Arial"/>
              </w:rPr>
              <w:t xml:space="preserve"> </w:t>
            </w:r>
            <w:r w:rsidR="002421D5">
              <w:rPr>
                <w:rFonts w:cs="Arial"/>
              </w:rPr>
              <w:t>-</w:t>
            </w:r>
            <w:r>
              <w:rPr>
                <w:rFonts w:cs="Arial"/>
              </w:rPr>
              <w:t>Annual Audit Letters</w:t>
            </w:r>
          </w:p>
          <w:p w14:paraId="5914456E" w14:textId="426F159F" w:rsidR="005C3531" w:rsidRDefault="005C3531" w:rsidP="006C3150">
            <w:pPr>
              <w:pStyle w:val="Infotext"/>
              <w:rPr>
                <w:rFonts w:cs="Arial"/>
              </w:rPr>
            </w:pPr>
          </w:p>
        </w:tc>
      </w:tr>
      <w:tr w:rsidR="00A160B2" w14:paraId="3A5E0F07" w14:textId="77777777" w:rsidTr="006C3150">
        <w:tc>
          <w:tcPr>
            <w:tcW w:w="3456" w:type="dxa"/>
          </w:tcPr>
          <w:p w14:paraId="3526B74C" w14:textId="77777777" w:rsidR="00A160B2" w:rsidRPr="00F92398" w:rsidRDefault="00A160B2" w:rsidP="006C3150">
            <w:pPr>
              <w:pStyle w:val="Infotext"/>
              <w:rPr>
                <w:rFonts w:ascii="Arial Black" w:hAnsi="Arial Black" w:cs="Arial"/>
              </w:rPr>
            </w:pPr>
            <w:r w:rsidRPr="00F92398">
              <w:rPr>
                <w:rFonts w:ascii="Arial Black" w:hAnsi="Arial Black" w:cs="Arial"/>
              </w:rPr>
              <w:t>Responsible Officer:</w:t>
            </w:r>
          </w:p>
          <w:p w14:paraId="2952AD10" w14:textId="77777777" w:rsidR="00A160B2" w:rsidRPr="00F92398" w:rsidRDefault="00A160B2" w:rsidP="006C3150">
            <w:pPr>
              <w:pStyle w:val="Infotext"/>
              <w:rPr>
                <w:rFonts w:ascii="Arial Black" w:hAnsi="Arial Black" w:cs="Arial"/>
              </w:rPr>
            </w:pPr>
          </w:p>
        </w:tc>
        <w:tc>
          <w:tcPr>
            <w:tcW w:w="5054" w:type="dxa"/>
          </w:tcPr>
          <w:p w14:paraId="63C5F91B" w14:textId="16C017D0" w:rsidR="00A160B2" w:rsidRDefault="00B97662" w:rsidP="006C3150">
            <w:pPr>
              <w:pStyle w:val="Infotext"/>
              <w:rPr>
                <w:rFonts w:cs="Arial"/>
              </w:rPr>
            </w:pPr>
            <w:r w:rsidRPr="00B97662">
              <w:rPr>
                <w:rFonts w:cs="Arial"/>
              </w:rPr>
              <w:t>Dawn Calvert, Director of Finance and Assurance</w:t>
            </w:r>
          </w:p>
          <w:p w14:paraId="3CF266C9" w14:textId="77777777" w:rsidR="00A160B2" w:rsidRDefault="00A160B2" w:rsidP="006C3150">
            <w:pPr>
              <w:pStyle w:val="Infotext"/>
              <w:rPr>
                <w:rFonts w:cs="Arial"/>
              </w:rPr>
            </w:pPr>
          </w:p>
        </w:tc>
      </w:tr>
      <w:tr w:rsidR="00A160B2" w14:paraId="7AFCAE74" w14:textId="77777777" w:rsidTr="006C3150">
        <w:tc>
          <w:tcPr>
            <w:tcW w:w="3456" w:type="dxa"/>
          </w:tcPr>
          <w:p w14:paraId="4573497F" w14:textId="77777777" w:rsidR="00A160B2" w:rsidRPr="00F92398" w:rsidRDefault="00A160B2" w:rsidP="006C3150">
            <w:pPr>
              <w:pStyle w:val="Infotext"/>
              <w:rPr>
                <w:rFonts w:ascii="Arial Black" w:hAnsi="Arial Black" w:cs="Arial"/>
              </w:rPr>
            </w:pPr>
            <w:r w:rsidRPr="00F92398">
              <w:rPr>
                <w:rFonts w:ascii="Arial Black" w:hAnsi="Arial Black" w:cs="Arial"/>
              </w:rPr>
              <w:t>Exempt:</w:t>
            </w:r>
          </w:p>
          <w:p w14:paraId="72D771B0" w14:textId="77777777" w:rsidR="00A160B2" w:rsidRPr="00F92398" w:rsidRDefault="00A160B2" w:rsidP="006C3150">
            <w:pPr>
              <w:pStyle w:val="Infotext"/>
              <w:rPr>
                <w:rFonts w:ascii="Arial Black" w:hAnsi="Arial Black" w:cs="Arial"/>
              </w:rPr>
            </w:pPr>
          </w:p>
        </w:tc>
        <w:tc>
          <w:tcPr>
            <w:tcW w:w="5054" w:type="dxa"/>
          </w:tcPr>
          <w:p w14:paraId="57D61F9A" w14:textId="3A19C8A0" w:rsidR="00A160B2" w:rsidRDefault="00A160B2" w:rsidP="006C3150">
            <w:pPr>
              <w:pStyle w:val="Infotext"/>
              <w:rPr>
                <w:rFonts w:cs="Arial"/>
              </w:rPr>
            </w:pPr>
            <w:r>
              <w:rPr>
                <w:rFonts w:cs="Arial"/>
              </w:rPr>
              <w:t>No</w:t>
            </w:r>
          </w:p>
          <w:p w14:paraId="4C873B59" w14:textId="77777777" w:rsidR="00A160B2" w:rsidRDefault="00A160B2" w:rsidP="006C3150">
            <w:pPr>
              <w:pStyle w:val="Infotext"/>
              <w:rPr>
                <w:rFonts w:cs="Arial"/>
              </w:rPr>
            </w:pPr>
          </w:p>
        </w:tc>
      </w:tr>
      <w:tr w:rsidR="00A160B2" w14:paraId="521D9222" w14:textId="77777777" w:rsidTr="006C3150">
        <w:tc>
          <w:tcPr>
            <w:tcW w:w="3456" w:type="dxa"/>
          </w:tcPr>
          <w:p w14:paraId="4ABD9246" w14:textId="77777777" w:rsidR="00A160B2" w:rsidRDefault="00A160B2" w:rsidP="006C3150">
            <w:pPr>
              <w:pStyle w:val="Infotext"/>
              <w:rPr>
                <w:rFonts w:ascii="Arial Black" w:hAnsi="Arial Black" w:cs="Arial"/>
              </w:rPr>
            </w:pPr>
            <w:r>
              <w:rPr>
                <w:rFonts w:ascii="Arial Black" w:hAnsi="Arial Black" w:cs="Arial"/>
              </w:rPr>
              <w:t>Wards affected:</w:t>
            </w:r>
          </w:p>
          <w:p w14:paraId="65A16444" w14:textId="77777777" w:rsidR="00A160B2" w:rsidRPr="00F92398" w:rsidRDefault="00A160B2" w:rsidP="006C3150">
            <w:pPr>
              <w:pStyle w:val="Infotext"/>
              <w:rPr>
                <w:rFonts w:ascii="Arial Black" w:hAnsi="Arial Black" w:cs="Arial"/>
              </w:rPr>
            </w:pPr>
          </w:p>
        </w:tc>
        <w:tc>
          <w:tcPr>
            <w:tcW w:w="5054" w:type="dxa"/>
          </w:tcPr>
          <w:p w14:paraId="6CD568AC" w14:textId="00C799E1" w:rsidR="00A160B2" w:rsidRDefault="00B97662" w:rsidP="006C3150">
            <w:pPr>
              <w:pStyle w:val="Infotext"/>
            </w:pPr>
            <w:r>
              <w:rPr>
                <w:rFonts w:cs="Arial"/>
                <w:szCs w:val="24"/>
              </w:rPr>
              <w:t>All</w:t>
            </w:r>
          </w:p>
        </w:tc>
      </w:tr>
      <w:tr w:rsidR="00A160B2" w14:paraId="7C35C184" w14:textId="77777777" w:rsidTr="006C3150">
        <w:tc>
          <w:tcPr>
            <w:tcW w:w="3456" w:type="dxa"/>
          </w:tcPr>
          <w:p w14:paraId="537C01BC" w14:textId="77777777" w:rsidR="00A160B2" w:rsidRPr="00F92398" w:rsidRDefault="00A160B2" w:rsidP="006C3150">
            <w:pPr>
              <w:pStyle w:val="Infotext"/>
              <w:rPr>
                <w:rFonts w:ascii="Arial Black" w:hAnsi="Arial Black" w:cs="Arial"/>
              </w:rPr>
            </w:pPr>
          </w:p>
          <w:p w14:paraId="575B6BE7" w14:textId="77777777" w:rsidR="00A160B2" w:rsidRPr="00F92398" w:rsidRDefault="00A160B2" w:rsidP="006C3150">
            <w:pPr>
              <w:pStyle w:val="Infotext"/>
              <w:rPr>
                <w:rFonts w:ascii="Arial Black" w:hAnsi="Arial Black" w:cs="Arial"/>
              </w:rPr>
            </w:pPr>
            <w:r w:rsidRPr="00F92398">
              <w:rPr>
                <w:rFonts w:ascii="Arial Black" w:hAnsi="Arial Black" w:cs="Arial"/>
              </w:rPr>
              <w:t>Enclosures:</w:t>
            </w:r>
          </w:p>
          <w:p w14:paraId="69475841" w14:textId="77777777" w:rsidR="00A160B2" w:rsidRPr="00F92398" w:rsidRDefault="00A160B2" w:rsidP="006C3150">
            <w:pPr>
              <w:pStyle w:val="Infotext"/>
              <w:rPr>
                <w:rFonts w:ascii="Arial Black" w:hAnsi="Arial Black" w:cs="Arial"/>
              </w:rPr>
            </w:pPr>
          </w:p>
        </w:tc>
        <w:tc>
          <w:tcPr>
            <w:tcW w:w="5054" w:type="dxa"/>
          </w:tcPr>
          <w:p w14:paraId="71119F8F" w14:textId="77777777" w:rsidR="00A160B2" w:rsidRDefault="00A160B2" w:rsidP="006C3150">
            <w:pPr>
              <w:pStyle w:val="Infotext"/>
            </w:pPr>
          </w:p>
          <w:p w14:paraId="4C232B02" w14:textId="275BFAD6" w:rsidR="00A160B2" w:rsidRDefault="001720F1" w:rsidP="006C3150">
            <w:pPr>
              <w:pStyle w:val="Infotext"/>
            </w:pPr>
            <w:r>
              <w:t xml:space="preserve">LBH </w:t>
            </w:r>
            <w:r w:rsidR="000431B8">
              <w:t xml:space="preserve">Annual Audit Letter </w:t>
            </w:r>
            <w:r w:rsidR="001D6332" w:rsidRPr="000431B8">
              <w:t>20</w:t>
            </w:r>
            <w:r w:rsidR="00205692">
              <w:t>19</w:t>
            </w:r>
            <w:r w:rsidR="001D6332" w:rsidRPr="000431B8">
              <w:t>-2</w:t>
            </w:r>
            <w:r w:rsidR="00205692">
              <w:t>0</w:t>
            </w:r>
            <w:r>
              <w:t xml:space="preserve"> and </w:t>
            </w:r>
            <w:r w:rsidR="002421D5">
              <w:t xml:space="preserve">LBH </w:t>
            </w:r>
            <w:r>
              <w:t>Pension Fund Annual Audit Letter 20</w:t>
            </w:r>
            <w:r w:rsidR="00205692">
              <w:t>19-20</w:t>
            </w:r>
          </w:p>
        </w:tc>
      </w:tr>
      <w:tr w:rsidR="00A160B2" w14:paraId="576A8326" w14:textId="77777777" w:rsidTr="006C3150">
        <w:tc>
          <w:tcPr>
            <w:tcW w:w="3456" w:type="dxa"/>
          </w:tcPr>
          <w:p w14:paraId="083D62A1" w14:textId="77777777" w:rsidR="00A160B2" w:rsidRPr="00F92398" w:rsidRDefault="00A160B2" w:rsidP="006C3150">
            <w:pPr>
              <w:pStyle w:val="Infotext"/>
              <w:rPr>
                <w:rFonts w:ascii="Arial Black" w:hAnsi="Arial Black" w:cs="Arial"/>
              </w:rPr>
            </w:pPr>
          </w:p>
        </w:tc>
        <w:tc>
          <w:tcPr>
            <w:tcW w:w="5054" w:type="dxa"/>
          </w:tcPr>
          <w:p w14:paraId="35FD747C" w14:textId="77777777" w:rsidR="00A160B2" w:rsidRDefault="00A160B2" w:rsidP="006C3150">
            <w:pPr>
              <w:pStyle w:val="Infotext"/>
              <w:rPr>
                <w:rFonts w:cs="Arial"/>
              </w:rPr>
            </w:pPr>
          </w:p>
        </w:tc>
      </w:tr>
      <w:tr w:rsidR="00A160B2" w14:paraId="055EE389" w14:textId="77777777" w:rsidTr="006C3150">
        <w:tc>
          <w:tcPr>
            <w:tcW w:w="3456" w:type="dxa"/>
          </w:tcPr>
          <w:p w14:paraId="378D9B11" w14:textId="77777777" w:rsidR="00A160B2" w:rsidRPr="00F92398" w:rsidRDefault="00A160B2" w:rsidP="006C3150">
            <w:pPr>
              <w:pStyle w:val="Infotext"/>
              <w:rPr>
                <w:rFonts w:ascii="Arial Black" w:hAnsi="Arial Black"/>
              </w:rPr>
            </w:pPr>
          </w:p>
        </w:tc>
        <w:tc>
          <w:tcPr>
            <w:tcW w:w="5054" w:type="dxa"/>
          </w:tcPr>
          <w:p w14:paraId="4E82A774" w14:textId="77777777" w:rsidR="00A160B2" w:rsidRDefault="00A160B2" w:rsidP="006C3150">
            <w:pPr>
              <w:pStyle w:val="Infotext"/>
              <w:rPr>
                <w:rFonts w:cs="Arial"/>
              </w:rPr>
            </w:pPr>
          </w:p>
        </w:tc>
      </w:tr>
      <w:tr w:rsidR="00A160B2" w14:paraId="3F1219AE" w14:textId="77777777" w:rsidTr="006C3150">
        <w:tc>
          <w:tcPr>
            <w:tcW w:w="3456" w:type="dxa"/>
          </w:tcPr>
          <w:p w14:paraId="097D2FFB" w14:textId="77777777" w:rsidR="00A160B2" w:rsidRPr="00F92398" w:rsidRDefault="00A160B2" w:rsidP="006C3150">
            <w:pPr>
              <w:pStyle w:val="Infotext"/>
              <w:rPr>
                <w:rFonts w:ascii="Arial Black" w:hAnsi="Arial Black" w:cs="Arial"/>
              </w:rPr>
            </w:pPr>
          </w:p>
        </w:tc>
        <w:tc>
          <w:tcPr>
            <w:tcW w:w="5054" w:type="dxa"/>
          </w:tcPr>
          <w:p w14:paraId="65B72BA4" w14:textId="77777777" w:rsidR="00A160B2" w:rsidRDefault="00A160B2" w:rsidP="006C3150">
            <w:pPr>
              <w:pStyle w:val="Infotext"/>
              <w:rPr>
                <w:rFonts w:cs="Arial"/>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abinet report summary details"/>
      </w:tblPr>
      <w:tblGrid>
        <w:gridCol w:w="8309"/>
      </w:tblGrid>
      <w:tr w:rsidR="00A160B2" w14:paraId="332F8595" w14:textId="77777777" w:rsidTr="006C3150">
        <w:trPr>
          <w:tblHeader/>
        </w:trPr>
        <w:tc>
          <w:tcPr>
            <w:tcW w:w="8525" w:type="dxa"/>
            <w:tcBorders>
              <w:top w:val="nil"/>
              <w:left w:val="nil"/>
              <w:bottom w:val="single" w:sz="4" w:space="0" w:color="auto"/>
              <w:right w:val="nil"/>
            </w:tcBorders>
          </w:tcPr>
          <w:p w14:paraId="47AF8288" w14:textId="77777777" w:rsidR="00A160B2" w:rsidRDefault="00A160B2" w:rsidP="00912904">
            <w:pPr>
              <w:pStyle w:val="Heading2"/>
              <w:spacing w:before="240" w:after="240"/>
            </w:pPr>
            <w:r>
              <w:t>Section 1 – Summary and Recommendations</w:t>
            </w:r>
          </w:p>
        </w:tc>
      </w:tr>
      <w:tr w:rsidR="001D6332" w14:paraId="281F4D12" w14:textId="77777777" w:rsidTr="006C3150">
        <w:trPr>
          <w:tblHeader/>
        </w:trPr>
        <w:tc>
          <w:tcPr>
            <w:tcW w:w="8525" w:type="dxa"/>
            <w:tcBorders>
              <w:left w:val="nil"/>
              <w:bottom w:val="nil"/>
              <w:right w:val="nil"/>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83"/>
            </w:tblGrid>
            <w:tr w:rsidR="001D6332" w:rsidRPr="00FB681E" w14:paraId="22212A80" w14:textId="77777777" w:rsidTr="00D67541">
              <w:tc>
                <w:tcPr>
                  <w:tcW w:w="8309" w:type="dxa"/>
                </w:tcPr>
                <w:p w14:paraId="7BA57599" w14:textId="77777777" w:rsidR="001D6332" w:rsidRPr="00FB681E" w:rsidRDefault="001D6332" w:rsidP="00D67541"/>
                <w:p w14:paraId="159D595C" w14:textId="5FFCF24F" w:rsidR="001D6332" w:rsidRPr="00FB681E" w:rsidRDefault="001D6332" w:rsidP="00D67541">
                  <w:r w:rsidRPr="00FB681E">
                    <w:t xml:space="preserve">This report </w:t>
                  </w:r>
                  <w:r w:rsidR="000431B8">
                    <w:t xml:space="preserve">provides the committee with the opportunity to consider the Annual Audit Letters of the Council and Pension Fund </w:t>
                  </w:r>
                  <w:r w:rsidR="001720F1">
                    <w:t xml:space="preserve">and </w:t>
                  </w:r>
                  <w:r w:rsidR="00EB424A">
                    <w:t xml:space="preserve">note that </w:t>
                  </w:r>
                  <w:r w:rsidR="001720F1">
                    <w:t xml:space="preserve">the external </w:t>
                  </w:r>
                  <w:r w:rsidR="00EB424A">
                    <w:t xml:space="preserve">audit </w:t>
                  </w:r>
                  <w:r w:rsidR="001720F1">
                    <w:t xml:space="preserve">for the financial year 2019-20 is now complete. </w:t>
                  </w:r>
                  <w:r w:rsidR="00C57920">
                    <w:t xml:space="preserve">  </w:t>
                  </w:r>
                  <w:r w:rsidRPr="00FB681E">
                    <w:t xml:space="preserve"> </w:t>
                  </w:r>
                </w:p>
                <w:p w14:paraId="6B8A80D4" w14:textId="77777777" w:rsidR="001D6332" w:rsidRPr="00FB681E" w:rsidRDefault="001D6332" w:rsidP="00D67541">
                  <w:pPr>
                    <w:pStyle w:val="Heading2"/>
                  </w:pPr>
                  <w:r w:rsidRPr="00FB681E">
                    <w:t xml:space="preserve">Recommendations: </w:t>
                  </w:r>
                </w:p>
                <w:p w14:paraId="3B7D3D6D" w14:textId="189E006D" w:rsidR="001D6332" w:rsidRPr="00FB681E" w:rsidRDefault="001D6332" w:rsidP="00D67541">
                  <w:pPr>
                    <w:jc w:val="both"/>
                    <w:rPr>
                      <w:szCs w:val="24"/>
                    </w:rPr>
                  </w:pPr>
                  <w:r w:rsidRPr="00FB681E">
                    <w:t xml:space="preserve">The Committee is asked to note the </w:t>
                  </w:r>
                  <w:r w:rsidR="001720F1">
                    <w:t xml:space="preserve">report containing the Annual Audit Letters </w:t>
                  </w:r>
                </w:p>
                <w:p w14:paraId="777A1915" w14:textId="77777777" w:rsidR="001D6332" w:rsidRPr="00FB681E" w:rsidRDefault="001D6332" w:rsidP="00D67541">
                  <w:pPr>
                    <w:jc w:val="both"/>
                    <w:rPr>
                      <w:rFonts w:cs="Arial"/>
                    </w:rPr>
                  </w:pPr>
                </w:p>
              </w:tc>
            </w:tr>
          </w:tbl>
          <w:p w14:paraId="714CBDEE" w14:textId="439BEFDD" w:rsidR="001D6332" w:rsidRDefault="001D6332" w:rsidP="00A160B2"/>
        </w:tc>
      </w:tr>
    </w:tbl>
    <w:p w14:paraId="7F101AAA" w14:textId="77777777" w:rsidR="001D6332" w:rsidRDefault="001D6332" w:rsidP="00A160B2">
      <w:pPr>
        <w:pStyle w:val="Heading2"/>
      </w:pPr>
    </w:p>
    <w:p w14:paraId="53DC7DE2" w14:textId="77777777" w:rsidR="002A2389" w:rsidRDefault="002A2389" w:rsidP="00A160B2">
      <w:pPr>
        <w:pStyle w:val="Heading2"/>
      </w:pPr>
      <w:r>
        <w:t>Section 2 – Report</w:t>
      </w:r>
    </w:p>
    <w:p w14:paraId="514F85F8" w14:textId="3FF2FFF9" w:rsidR="002A2389" w:rsidRPr="001D6332" w:rsidRDefault="001D6332" w:rsidP="001D6332">
      <w:pPr>
        <w:pStyle w:val="Heading2"/>
      </w:pPr>
      <w:r>
        <w:t>Background</w:t>
      </w:r>
    </w:p>
    <w:p w14:paraId="30D10B0D" w14:textId="3368849D" w:rsidR="005C3531" w:rsidRPr="008168E8" w:rsidRDefault="005C3531" w:rsidP="00F66280">
      <w:pPr>
        <w:pStyle w:val="Heading4"/>
        <w:keepNext w:val="0"/>
        <w:numPr>
          <w:ilvl w:val="0"/>
          <w:numId w:val="18"/>
        </w:numPr>
        <w:spacing w:before="360"/>
        <w:rPr>
          <w:b w:val="0"/>
          <w:sz w:val="24"/>
          <w:szCs w:val="24"/>
        </w:rPr>
      </w:pPr>
      <w:r w:rsidRPr="008168E8">
        <w:rPr>
          <w:b w:val="0"/>
          <w:sz w:val="24"/>
          <w:szCs w:val="24"/>
        </w:rPr>
        <w:t xml:space="preserve">The GARMS committee considered and the approved the Statement of Accounts 2019-20 at the meeting </w:t>
      </w:r>
      <w:r w:rsidR="008168E8">
        <w:rPr>
          <w:b w:val="0"/>
          <w:sz w:val="24"/>
          <w:szCs w:val="24"/>
        </w:rPr>
        <w:t xml:space="preserve">held on </w:t>
      </w:r>
      <w:r w:rsidRPr="008168E8">
        <w:rPr>
          <w:b w:val="0"/>
          <w:sz w:val="24"/>
          <w:szCs w:val="24"/>
        </w:rPr>
        <w:t>22</w:t>
      </w:r>
      <w:r w:rsidRPr="008168E8">
        <w:rPr>
          <w:b w:val="0"/>
          <w:sz w:val="24"/>
          <w:szCs w:val="24"/>
          <w:vertAlign w:val="superscript"/>
        </w:rPr>
        <w:t>nd</w:t>
      </w:r>
      <w:r w:rsidRPr="008168E8">
        <w:rPr>
          <w:b w:val="0"/>
          <w:sz w:val="24"/>
          <w:szCs w:val="24"/>
        </w:rPr>
        <w:t xml:space="preserve"> October 2020</w:t>
      </w:r>
      <w:r w:rsidR="008168E8" w:rsidRPr="008168E8">
        <w:rPr>
          <w:b w:val="0"/>
          <w:sz w:val="24"/>
          <w:szCs w:val="24"/>
        </w:rPr>
        <w:t>.</w:t>
      </w:r>
    </w:p>
    <w:p w14:paraId="3AEC5B56" w14:textId="190D5DB8" w:rsidR="001720F1" w:rsidRDefault="001720F1" w:rsidP="001D6332">
      <w:pPr>
        <w:pStyle w:val="Heading4"/>
        <w:keepNext w:val="0"/>
        <w:numPr>
          <w:ilvl w:val="0"/>
          <w:numId w:val="18"/>
        </w:numPr>
        <w:spacing w:before="360"/>
        <w:rPr>
          <w:b w:val="0"/>
          <w:sz w:val="24"/>
          <w:szCs w:val="24"/>
        </w:rPr>
      </w:pPr>
      <w:r>
        <w:rPr>
          <w:b w:val="0"/>
          <w:sz w:val="24"/>
          <w:szCs w:val="24"/>
        </w:rPr>
        <w:t>The Accounts and Audit (England) Regulations 2015 requires the Committee to consider the Annual Audit Letters</w:t>
      </w:r>
      <w:r w:rsidR="005C3531">
        <w:rPr>
          <w:b w:val="0"/>
          <w:sz w:val="24"/>
          <w:szCs w:val="24"/>
        </w:rPr>
        <w:t xml:space="preserve"> of the external auditors</w:t>
      </w:r>
      <w:r>
        <w:rPr>
          <w:b w:val="0"/>
          <w:sz w:val="24"/>
          <w:szCs w:val="24"/>
        </w:rPr>
        <w:t>.</w:t>
      </w:r>
    </w:p>
    <w:p w14:paraId="3DACDB0A" w14:textId="44710E57" w:rsidR="001D6332" w:rsidRPr="001D6332" w:rsidRDefault="001D6332" w:rsidP="001D6332">
      <w:pPr>
        <w:pStyle w:val="Heading4"/>
        <w:keepNext w:val="0"/>
        <w:numPr>
          <w:ilvl w:val="0"/>
          <w:numId w:val="18"/>
        </w:numPr>
        <w:spacing w:before="360"/>
        <w:rPr>
          <w:b w:val="0"/>
          <w:sz w:val="24"/>
          <w:szCs w:val="24"/>
        </w:rPr>
      </w:pPr>
      <w:r w:rsidRPr="001D6332">
        <w:rPr>
          <w:b w:val="0"/>
          <w:sz w:val="24"/>
          <w:szCs w:val="24"/>
        </w:rPr>
        <w:t xml:space="preserve">The </w:t>
      </w:r>
      <w:r w:rsidR="001720F1">
        <w:rPr>
          <w:b w:val="0"/>
          <w:sz w:val="24"/>
          <w:szCs w:val="24"/>
        </w:rPr>
        <w:t>Council’s external auditors (Mazars LLP) have now issued their Annual Audit Letters for the Council and the Pension Fund for the financial year ended 31</w:t>
      </w:r>
      <w:r w:rsidR="001720F1" w:rsidRPr="001720F1">
        <w:rPr>
          <w:b w:val="0"/>
          <w:sz w:val="24"/>
          <w:szCs w:val="24"/>
          <w:vertAlign w:val="superscript"/>
        </w:rPr>
        <w:t>st</w:t>
      </w:r>
      <w:r w:rsidR="001720F1">
        <w:rPr>
          <w:b w:val="0"/>
          <w:sz w:val="24"/>
          <w:szCs w:val="24"/>
        </w:rPr>
        <w:t xml:space="preserve"> March 202</w:t>
      </w:r>
      <w:r w:rsidR="005C3531">
        <w:rPr>
          <w:b w:val="0"/>
          <w:sz w:val="24"/>
          <w:szCs w:val="24"/>
        </w:rPr>
        <w:t>0</w:t>
      </w:r>
      <w:r w:rsidR="001720F1">
        <w:rPr>
          <w:b w:val="0"/>
          <w:sz w:val="24"/>
          <w:szCs w:val="24"/>
        </w:rPr>
        <w:t xml:space="preserve">. </w:t>
      </w:r>
    </w:p>
    <w:p w14:paraId="200F8F78" w14:textId="72144E0F" w:rsidR="00AF4C9C" w:rsidRDefault="001D6332" w:rsidP="001D6332">
      <w:pPr>
        <w:pStyle w:val="Heading4"/>
        <w:keepNext w:val="0"/>
        <w:numPr>
          <w:ilvl w:val="0"/>
          <w:numId w:val="18"/>
        </w:numPr>
        <w:spacing w:before="360"/>
        <w:rPr>
          <w:b w:val="0"/>
          <w:sz w:val="24"/>
          <w:szCs w:val="24"/>
        </w:rPr>
      </w:pPr>
      <w:r w:rsidRPr="001D6332">
        <w:rPr>
          <w:b w:val="0"/>
          <w:sz w:val="24"/>
          <w:szCs w:val="24"/>
        </w:rPr>
        <w:t xml:space="preserve">The </w:t>
      </w:r>
      <w:r w:rsidR="00AF4C9C">
        <w:rPr>
          <w:b w:val="0"/>
          <w:sz w:val="24"/>
          <w:szCs w:val="24"/>
        </w:rPr>
        <w:t>2019-20 Annual Audit Letters are attached as appendices to this report and cover the following matters:</w:t>
      </w:r>
    </w:p>
    <w:p w14:paraId="1003937B" w14:textId="596BE093" w:rsidR="00A46CEF" w:rsidRPr="00E201BC" w:rsidRDefault="00A46CEF" w:rsidP="00A46CEF">
      <w:pPr>
        <w:pStyle w:val="ListParagraph"/>
        <w:numPr>
          <w:ilvl w:val="0"/>
          <w:numId w:val="21"/>
        </w:numPr>
        <w:rPr>
          <w:sz w:val="24"/>
          <w:szCs w:val="24"/>
        </w:rPr>
      </w:pPr>
      <w:r w:rsidRPr="00E201BC">
        <w:rPr>
          <w:sz w:val="24"/>
          <w:szCs w:val="24"/>
        </w:rPr>
        <w:t>Executive Summary</w:t>
      </w:r>
    </w:p>
    <w:p w14:paraId="1A9347EA" w14:textId="68AC36D8" w:rsidR="00A46CEF" w:rsidRPr="00E201BC" w:rsidRDefault="00E201BC" w:rsidP="00A46CEF">
      <w:pPr>
        <w:pStyle w:val="ListParagraph"/>
        <w:numPr>
          <w:ilvl w:val="0"/>
          <w:numId w:val="21"/>
        </w:numPr>
        <w:rPr>
          <w:sz w:val="24"/>
          <w:szCs w:val="24"/>
        </w:rPr>
      </w:pPr>
      <w:r w:rsidRPr="00E201BC">
        <w:rPr>
          <w:sz w:val="24"/>
          <w:szCs w:val="24"/>
        </w:rPr>
        <w:t>Audit of the financial statements</w:t>
      </w:r>
    </w:p>
    <w:p w14:paraId="31C0E824" w14:textId="4F0DBC1B" w:rsidR="00E201BC" w:rsidRPr="00E201BC" w:rsidRDefault="00E201BC" w:rsidP="00A46CEF">
      <w:pPr>
        <w:pStyle w:val="ListParagraph"/>
        <w:numPr>
          <w:ilvl w:val="0"/>
          <w:numId w:val="21"/>
        </w:numPr>
        <w:rPr>
          <w:sz w:val="24"/>
          <w:szCs w:val="24"/>
        </w:rPr>
      </w:pPr>
      <w:r w:rsidRPr="00E201BC">
        <w:rPr>
          <w:sz w:val="24"/>
          <w:szCs w:val="24"/>
        </w:rPr>
        <w:t>Value for money conclusion</w:t>
      </w:r>
    </w:p>
    <w:p w14:paraId="5CF64919" w14:textId="56BF0E06" w:rsidR="00E201BC" w:rsidRPr="00E201BC" w:rsidRDefault="00E201BC" w:rsidP="00A46CEF">
      <w:pPr>
        <w:pStyle w:val="ListParagraph"/>
        <w:numPr>
          <w:ilvl w:val="0"/>
          <w:numId w:val="21"/>
        </w:numPr>
        <w:rPr>
          <w:sz w:val="24"/>
          <w:szCs w:val="24"/>
        </w:rPr>
      </w:pPr>
      <w:r w:rsidRPr="00E201BC">
        <w:rPr>
          <w:sz w:val="24"/>
          <w:szCs w:val="24"/>
        </w:rPr>
        <w:t>Other reporting responsibilities</w:t>
      </w:r>
    </w:p>
    <w:p w14:paraId="7A89DAD0" w14:textId="15C7157A" w:rsidR="00E201BC" w:rsidRPr="00E201BC" w:rsidRDefault="005C3531" w:rsidP="00A46CEF">
      <w:pPr>
        <w:pStyle w:val="ListParagraph"/>
        <w:numPr>
          <w:ilvl w:val="0"/>
          <w:numId w:val="21"/>
        </w:numPr>
        <w:rPr>
          <w:sz w:val="24"/>
          <w:szCs w:val="24"/>
        </w:rPr>
      </w:pPr>
      <w:r>
        <w:rPr>
          <w:sz w:val="24"/>
          <w:szCs w:val="24"/>
        </w:rPr>
        <w:t xml:space="preserve">Audit </w:t>
      </w:r>
      <w:r w:rsidR="00E201BC" w:rsidRPr="00E201BC">
        <w:rPr>
          <w:sz w:val="24"/>
          <w:szCs w:val="24"/>
        </w:rPr>
        <w:t>fees</w:t>
      </w:r>
    </w:p>
    <w:p w14:paraId="3F741C0B" w14:textId="23DDF0FA" w:rsidR="00E201BC" w:rsidRPr="00E201BC" w:rsidRDefault="00E201BC" w:rsidP="00A46CEF">
      <w:pPr>
        <w:pStyle w:val="ListParagraph"/>
        <w:numPr>
          <w:ilvl w:val="0"/>
          <w:numId w:val="21"/>
        </w:numPr>
        <w:rPr>
          <w:sz w:val="24"/>
          <w:szCs w:val="24"/>
        </w:rPr>
      </w:pPr>
      <w:r w:rsidRPr="00E201BC">
        <w:rPr>
          <w:sz w:val="24"/>
          <w:szCs w:val="24"/>
        </w:rPr>
        <w:t>Forward look</w:t>
      </w:r>
    </w:p>
    <w:p w14:paraId="1F50EC4F" w14:textId="7E864B0B" w:rsidR="00E201BC" w:rsidRDefault="00E201BC" w:rsidP="001D6332">
      <w:pPr>
        <w:pStyle w:val="Heading4"/>
        <w:keepNext w:val="0"/>
        <w:numPr>
          <w:ilvl w:val="0"/>
          <w:numId w:val="18"/>
        </w:numPr>
        <w:spacing w:before="360"/>
        <w:rPr>
          <w:b w:val="0"/>
          <w:sz w:val="24"/>
          <w:szCs w:val="24"/>
        </w:rPr>
      </w:pPr>
      <w:r>
        <w:rPr>
          <w:b w:val="0"/>
          <w:sz w:val="24"/>
          <w:szCs w:val="24"/>
        </w:rPr>
        <w:t>The key conclusions arising from the auditors work were:</w:t>
      </w:r>
    </w:p>
    <w:p w14:paraId="00F9D59E" w14:textId="2FC8C699" w:rsidR="00E201BC" w:rsidRPr="00E201BC" w:rsidRDefault="00E201BC" w:rsidP="00E201BC">
      <w:pPr>
        <w:pStyle w:val="ListParagraph"/>
        <w:numPr>
          <w:ilvl w:val="0"/>
          <w:numId w:val="22"/>
        </w:numPr>
        <w:rPr>
          <w:sz w:val="24"/>
          <w:szCs w:val="24"/>
        </w:rPr>
      </w:pPr>
      <w:r w:rsidRPr="00E201BC">
        <w:rPr>
          <w:sz w:val="24"/>
          <w:szCs w:val="24"/>
        </w:rPr>
        <w:t>The council received an unqualified audit opinion and value for money conclusion</w:t>
      </w:r>
    </w:p>
    <w:p w14:paraId="2158748A" w14:textId="7F73C142" w:rsidR="001D6332" w:rsidRPr="008168E8" w:rsidRDefault="00E201BC" w:rsidP="008168E8">
      <w:pPr>
        <w:pStyle w:val="ListParagraph"/>
        <w:numPr>
          <w:ilvl w:val="0"/>
          <w:numId w:val="22"/>
        </w:numPr>
        <w:rPr>
          <w:sz w:val="24"/>
          <w:szCs w:val="24"/>
        </w:rPr>
      </w:pPr>
      <w:r w:rsidRPr="00E201BC">
        <w:rPr>
          <w:sz w:val="24"/>
          <w:szCs w:val="24"/>
        </w:rPr>
        <w:t xml:space="preserve">No audit recommendations were issued </w:t>
      </w:r>
      <w:bookmarkStart w:id="0" w:name="_Hlk88472405"/>
    </w:p>
    <w:bookmarkEnd w:id="0"/>
    <w:p w14:paraId="3469E0D9" w14:textId="77777777" w:rsidR="00213BE7" w:rsidRDefault="00213BE7" w:rsidP="00213BE7">
      <w:pPr>
        <w:pStyle w:val="Heading2"/>
      </w:pPr>
      <w:r>
        <w:t>Legal Implications</w:t>
      </w:r>
    </w:p>
    <w:p w14:paraId="7DCE78DE" w14:textId="78702851" w:rsidR="006271B7" w:rsidRPr="006271B7" w:rsidRDefault="006271B7" w:rsidP="006271B7">
      <w:pPr>
        <w:pStyle w:val="Heading2"/>
        <w:spacing w:before="240" w:after="240"/>
        <w:rPr>
          <w:rFonts w:ascii="Arial" w:hAnsi="Arial"/>
          <w:bCs w:val="0"/>
          <w:sz w:val="24"/>
          <w:szCs w:val="24"/>
        </w:rPr>
      </w:pPr>
      <w:r w:rsidRPr="006271B7">
        <w:rPr>
          <w:rFonts w:ascii="Arial" w:hAnsi="Arial"/>
          <w:bCs w:val="0"/>
          <w:sz w:val="24"/>
          <w:szCs w:val="24"/>
        </w:rPr>
        <w:t>The</w:t>
      </w:r>
      <w:r w:rsidR="00071D25">
        <w:rPr>
          <w:rFonts w:ascii="Arial" w:hAnsi="Arial"/>
          <w:bCs w:val="0"/>
          <w:sz w:val="24"/>
          <w:szCs w:val="24"/>
        </w:rPr>
        <w:t xml:space="preserve"> Annual Audit Letter summaries the work of the external auditor for the Council for the year ended 31</w:t>
      </w:r>
      <w:r w:rsidR="00071D25" w:rsidRPr="00071D25">
        <w:rPr>
          <w:rFonts w:ascii="Arial" w:hAnsi="Arial"/>
          <w:bCs w:val="0"/>
          <w:sz w:val="24"/>
          <w:szCs w:val="24"/>
          <w:vertAlign w:val="superscript"/>
        </w:rPr>
        <w:t>st</w:t>
      </w:r>
      <w:r w:rsidR="00071D25">
        <w:rPr>
          <w:rFonts w:ascii="Arial" w:hAnsi="Arial"/>
          <w:bCs w:val="0"/>
          <w:sz w:val="24"/>
          <w:szCs w:val="24"/>
        </w:rPr>
        <w:t xml:space="preserve"> March 2020. This work is covered by the Accounts and Audit Regulations 2015. The purpose of the audit is to provide reasonable assurance to users that the financial statements are free from material error. </w:t>
      </w:r>
    </w:p>
    <w:p w14:paraId="41BB405D" w14:textId="74FFC732" w:rsidR="002A2389" w:rsidRDefault="002A2389" w:rsidP="003D2FFE">
      <w:pPr>
        <w:pStyle w:val="Heading2"/>
        <w:spacing w:after="240"/>
      </w:pPr>
      <w:r>
        <w:t>Financial Implications</w:t>
      </w:r>
    </w:p>
    <w:p w14:paraId="750BA539" w14:textId="74C0C29E" w:rsidR="002A2389" w:rsidRPr="006271B7" w:rsidRDefault="006271B7" w:rsidP="006271B7">
      <w:pPr>
        <w:pStyle w:val="Heading2"/>
        <w:spacing w:before="240" w:after="240"/>
        <w:rPr>
          <w:rFonts w:ascii="Arial" w:hAnsi="Arial"/>
          <w:bCs w:val="0"/>
          <w:sz w:val="24"/>
          <w:szCs w:val="24"/>
        </w:rPr>
      </w:pPr>
      <w:r w:rsidRPr="006271B7">
        <w:rPr>
          <w:rFonts w:ascii="Arial" w:hAnsi="Arial"/>
          <w:bCs w:val="0"/>
          <w:sz w:val="24"/>
          <w:szCs w:val="24"/>
        </w:rPr>
        <w:t>There are no direct financial implications arising from this report.</w:t>
      </w:r>
    </w:p>
    <w:p w14:paraId="5ACE80EE" w14:textId="77777777" w:rsidR="00C32DAE" w:rsidRPr="003D2FFE" w:rsidRDefault="00C32DAE" w:rsidP="003D2FFE">
      <w:pPr>
        <w:pStyle w:val="Heading2"/>
        <w:spacing w:after="240"/>
      </w:pPr>
      <w:r>
        <w:lastRenderedPageBreak/>
        <w:t>Risk Management Implications</w:t>
      </w:r>
    </w:p>
    <w:p w14:paraId="6BBB9497" w14:textId="21D70091" w:rsidR="00570F59" w:rsidRPr="00063A23" w:rsidRDefault="00063A23" w:rsidP="00063A23">
      <w:pPr>
        <w:ind w:right="75"/>
        <w:textAlignment w:val="baseline"/>
        <w:rPr>
          <w:rFonts w:cs="Arial"/>
          <w:szCs w:val="24"/>
          <w:lang w:val="en-US" w:eastAsia="en-GB"/>
        </w:rPr>
      </w:pPr>
      <w:r w:rsidRPr="00063A23">
        <w:rPr>
          <w:rFonts w:cs="Arial"/>
          <w:szCs w:val="24"/>
          <w:lang w:val="en-US" w:eastAsia="en-GB"/>
        </w:rPr>
        <w:t>There are no risk management implications.</w:t>
      </w:r>
    </w:p>
    <w:p w14:paraId="7E703FFF" w14:textId="0A33A495" w:rsidR="00570F59" w:rsidRPr="00570F59" w:rsidRDefault="00570F59" w:rsidP="00570F59">
      <w:pPr>
        <w:ind w:left="555" w:right="75" w:hanging="555"/>
        <w:textAlignment w:val="baseline"/>
        <w:rPr>
          <w:rFonts w:ascii="Segoe UI" w:hAnsi="Segoe UI" w:cs="Segoe UI"/>
          <w:sz w:val="18"/>
          <w:szCs w:val="18"/>
          <w:lang w:eastAsia="en-GB"/>
        </w:rPr>
      </w:pPr>
    </w:p>
    <w:p w14:paraId="33541738" w14:textId="407089A9" w:rsidR="00570F59" w:rsidRPr="00570F59" w:rsidRDefault="00570F59" w:rsidP="00570F59">
      <w:pPr>
        <w:ind w:right="75"/>
        <w:textAlignment w:val="baseline"/>
        <w:rPr>
          <w:rFonts w:ascii="Segoe UI" w:hAnsi="Segoe UI" w:cs="Segoe UI"/>
          <w:sz w:val="18"/>
          <w:szCs w:val="18"/>
          <w:lang w:eastAsia="en-GB"/>
        </w:rPr>
      </w:pPr>
      <w:r w:rsidRPr="00570F59">
        <w:rPr>
          <w:rFonts w:cs="Arial"/>
          <w:szCs w:val="24"/>
          <w:lang w:val="en-US" w:eastAsia="en-GB"/>
        </w:rPr>
        <w:t>Risks included on corporate or directorate risk register? </w:t>
      </w:r>
      <w:r w:rsidRPr="00570F59">
        <w:rPr>
          <w:rFonts w:cs="Arial"/>
          <w:b/>
          <w:bCs/>
          <w:szCs w:val="24"/>
          <w:lang w:val="en-US" w:eastAsia="en-GB"/>
        </w:rPr>
        <w:t>No</w:t>
      </w:r>
    </w:p>
    <w:p w14:paraId="3C0B834E" w14:textId="393A3C9A" w:rsidR="00570F59" w:rsidRPr="00570F59" w:rsidRDefault="00570F59" w:rsidP="00570F59">
      <w:pPr>
        <w:ind w:left="-150" w:right="135"/>
        <w:textAlignment w:val="baseline"/>
        <w:rPr>
          <w:rFonts w:ascii="Segoe UI" w:hAnsi="Segoe UI" w:cs="Segoe UI"/>
          <w:sz w:val="18"/>
          <w:szCs w:val="18"/>
          <w:lang w:eastAsia="en-GB"/>
        </w:rPr>
      </w:pPr>
      <w:r w:rsidRPr="00570F59">
        <w:rPr>
          <w:rFonts w:cs="Arial"/>
          <w:szCs w:val="24"/>
          <w:lang w:val="en-US" w:eastAsia="en-GB"/>
        </w:rPr>
        <w:t>  </w:t>
      </w:r>
    </w:p>
    <w:p w14:paraId="20B91783" w14:textId="0B1A3F58" w:rsidR="00570F59" w:rsidRPr="00570F59" w:rsidRDefault="00570F59" w:rsidP="00570F59">
      <w:pPr>
        <w:ind w:left="-150" w:right="135" w:firstLine="135"/>
        <w:textAlignment w:val="baseline"/>
        <w:rPr>
          <w:rFonts w:ascii="Segoe UI" w:hAnsi="Segoe UI" w:cs="Segoe UI"/>
          <w:sz w:val="18"/>
          <w:szCs w:val="18"/>
          <w:lang w:eastAsia="en-GB"/>
        </w:rPr>
      </w:pPr>
      <w:r w:rsidRPr="00570F59">
        <w:rPr>
          <w:rFonts w:cs="Arial"/>
          <w:szCs w:val="24"/>
          <w:lang w:val="en-US" w:eastAsia="en-GB"/>
        </w:rPr>
        <w:t>Separate risk register in place? </w:t>
      </w:r>
      <w:r w:rsidRPr="00570F59">
        <w:rPr>
          <w:rFonts w:cs="Arial"/>
          <w:b/>
          <w:bCs/>
          <w:szCs w:val="24"/>
          <w:lang w:val="en-US" w:eastAsia="en-GB"/>
        </w:rPr>
        <w:t>No</w:t>
      </w:r>
    </w:p>
    <w:p w14:paraId="77C7BDB3" w14:textId="2F931931" w:rsidR="00570F59" w:rsidRPr="00570F59" w:rsidRDefault="00570F59" w:rsidP="00570F59">
      <w:pPr>
        <w:ind w:left="555" w:right="75" w:hanging="555"/>
        <w:textAlignment w:val="baseline"/>
        <w:rPr>
          <w:rFonts w:ascii="Segoe UI" w:hAnsi="Segoe UI" w:cs="Segoe UI"/>
          <w:sz w:val="18"/>
          <w:szCs w:val="18"/>
          <w:lang w:eastAsia="en-GB"/>
        </w:rPr>
      </w:pPr>
    </w:p>
    <w:p w14:paraId="66589F52" w14:textId="1D6F2AF9" w:rsidR="00570F59" w:rsidRPr="00570F59" w:rsidRDefault="00570F59" w:rsidP="00063A23">
      <w:pPr>
        <w:ind w:right="75"/>
        <w:textAlignment w:val="baseline"/>
        <w:rPr>
          <w:rFonts w:ascii="Segoe UI" w:hAnsi="Segoe UI" w:cs="Segoe UI"/>
          <w:sz w:val="18"/>
          <w:szCs w:val="18"/>
          <w:lang w:eastAsia="en-GB"/>
        </w:rPr>
      </w:pPr>
      <w:r w:rsidRPr="00570F59">
        <w:rPr>
          <w:rFonts w:cs="Arial"/>
          <w:szCs w:val="24"/>
          <w:lang w:eastAsia="en-GB"/>
        </w:rPr>
        <w:t>The relevant risks contained in the register are attached/summarised below. </w:t>
      </w:r>
      <w:r w:rsidRPr="00570F59">
        <w:rPr>
          <w:rFonts w:cs="Arial"/>
          <w:b/>
          <w:bCs/>
          <w:szCs w:val="24"/>
          <w:lang w:val="en-US" w:eastAsia="en-GB"/>
        </w:rPr>
        <w:t>n/a</w:t>
      </w:r>
    </w:p>
    <w:p w14:paraId="44D33D1F" w14:textId="77777777" w:rsidR="00FD31A0" w:rsidRDefault="00FD31A0" w:rsidP="003D2FFE">
      <w:pPr>
        <w:pStyle w:val="Heading2"/>
        <w:keepNext/>
        <w:spacing w:after="240"/>
      </w:pPr>
      <w:r w:rsidRPr="004A2543">
        <w:t>Equalities implications</w:t>
      </w:r>
      <w:r w:rsidR="00213BE7">
        <w:t xml:space="preserve"> / Public Sector Equality Duty </w:t>
      </w:r>
    </w:p>
    <w:p w14:paraId="642EAD9E" w14:textId="52C518EE" w:rsidR="00063A23" w:rsidRDefault="00063A23" w:rsidP="007F3AC8">
      <w:pPr>
        <w:ind w:right="74"/>
        <w:textAlignment w:val="baseline"/>
        <w:rPr>
          <w:rFonts w:cs="Arial"/>
          <w:szCs w:val="24"/>
          <w:lang w:val="en-US" w:eastAsia="en-GB"/>
        </w:rPr>
      </w:pPr>
      <w:r w:rsidRPr="007F3AC8">
        <w:rPr>
          <w:rFonts w:cs="Arial"/>
          <w:szCs w:val="24"/>
          <w:lang w:val="en-US" w:eastAsia="en-GB"/>
        </w:rPr>
        <w:t>Considering the Council’s Public Sector Equality Duties under the Equality Act 2010, s.149, is integral to the decision- maki</w:t>
      </w:r>
      <w:r w:rsidR="007F3AC8" w:rsidRPr="007F3AC8">
        <w:rPr>
          <w:rFonts w:cs="Arial"/>
          <w:szCs w:val="24"/>
          <w:lang w:val="en-US" w:eastAsia="en-GB"/>
        </w:rPr>
        <w:t>ng process.</w:t>
      </w:r>
    </w:p>
    <w:p w14:paraId="12409991" w14:textId="77777777" w:rsidR="007F3AC8" w:rsidRPr="007F3AC8" w:rsidRDefault="007F3AC8" w:rsidP="007F3AC8">
      <w:pPr>
        <w:ind w:right="74"/>
        <w:textAlignment w:val="baseline"/>
        <w:rPr>
          <w:rFonts w:cs="Arial"/>
          <w:szCs w:val="24"/>
          <w:lang w:val="en-US" w:eastAsia="en-GB"/>
        </w:rPr>
      </w:pPr>
    </w:p>
    <w:p w14:paraId="189529DD" w14:textId="16E7C63A" w:rsidR="00063A23" w:rsidRDefault="00063A23" w:rsidP="007F3AC8">
      <w:pPr>
        <w:ind w:right="74"/>
        <w:textAlignment w:val="baseline"/>
        <w:rPr>
          <w:rFonts w:cs="Arial"/>
          <w:szCs w:val="24"/>
          <w:lang w:val="en-US" w:eastAsia="en-GB"/>
        </w:rPr>
      </w:pPr>
      <w:r w:rsidRPr="007F3AC8">
        <w:rPr>
          <w:rFonts w:cs="Arial"/>
          <w:szCs w:val="24"/>
          <w:lang w:val="en-US" w:eastAsia="en-GB"/>
        </w:rPr>
        <w:t>Was an Equality Imp</w:t>
      </w:r>
      <w:r w:rsidR="007F3AC8" w:rsidRPr="007F3AC8">
        <w:rPr>
          <w:rFonts w:cs="Arial"/>
          <w:szCs w:val="24"/>
          <w:lang w:val="en-US" w:eastAsia="en-GB"/>
        </w:rPr>
        <w:t>act Assessment carried out?  No</w:t>
      </w:r>
    </w:p>
    <w:p w14:paraId="5350112A" w14:textId="77777777" w:rsidR="007F3AC8" w:rsidRPr="007F3AC8" w:rsidRDefault="007F3AC8" w:rsidP="007F3AC8">
      <w:pPr>
        <w:ind w:right="74"/>
        <w:textAlignment w:val="baseline"/>
        <w:rPr>
          <w:rFonts w:cs="Arial"/>
          <w:szCs w:val="24"/>
          <w:lang w:val="en-US" w:eastAsia="en-GB"/>
        </w:rPr>
      </w:pPr>
    </w:p>
    <w:p w14:paraId="54AC4B34" w14:textId="77777777" w:rsidR="007F3AC8" w:rsidRPr="007F3AC8" w:rsidRDefault="00063A23" w:rsidP="007F3AC8">
      <w:pPr>
        <w:ind w:right="74"/>
        <w:textAlignment w:val="baseline"/>
        <w:rPr>
          <w:rFonts w:cs="Arial"/>
          <w:szCs w:val="24"/>
          <w:lang w:val="en-US" w:eastAsia="en-GB"/>
        </w:rPr>
      </w:pPr>
      <w:r w:rsidRPr="007F3AC8">
        <w:rPr>
          <w:rFonts w:cs="Arial"/>
          <w:szCs w:val="24"/>
          <w:lang w:val="en-US" w:eastAsia="en-GB"/>
        </w:rPr>
        <w:t>There are no direct equalities implications.</w:t>
      </w:r>
    </w:p>
    <w:p w14:paraId="1EF4F8CB" w14:textId="70CDE334" w:rsidR="004B4A47" w:rsidRPr="00CD57D8" w:rsidRDefault="00AC0AAB" w:rsidP="00063A23">
      <w:pPr>
        <w:pStyle w:val="Heading2"/>
        <w:spacing w:after="240"/>
      </w:pPr>
      <w:r>
        <w:t xml:space="preserve">Council </w:t>
      </w:r>
      <w:r w:rsidR="004B4A47" w:rsidRPr="00CD57D8">
        <w:t>Priorities</w:t>
      </w:r>
    </w:p>
    <w:p w14:paraId="14ED332C" w14:textId="627158CA" w:rsidR="00EF2F91" w:rsidRDefault="007F3AC8" w:rsidP="00EF2F91">
      <w:pPr>
        <w:rPr>
          <w:rFonts w:cs="Arial"/>
          <w:szCs w:val="24"/>
          <w:lang w:val="en-US"/>
        </w:rPr>
      </w:pPr>
      <w:r w:rsidRPr="007F3AC8">
        <w:rPr>
          <w:rFonts w:cs="Arial"/>
          <w:szCs w:val="24"/>
          <w:lang w:val="en-US"/>
        </w:rPr>
        <w:t>The Statement of Accounts provides assurance that the Council has managed and delivered its finances in accordance with its approved plans and budget</w:t>
      </w:r>
      <w:r>
        <w:rPr>
          <w:rFonts w:cs="Arial"/>
          <w:szCs w:val="24"/>
          <w:lang w:val="en-US"/>
        </w:rPr>
        <w:t>.</w:t>
      </w:r>
    </w:p>
    <w:p w14:paraId="31683B0A" w14:textId="77777777" w:rsidR="007F3AC8" w:rsidRDefault="007F3AC8" w:rsidP="00EF2F91">
      <w:pPr>
        <w:rPr>
          <w:rFonts w:cs="Arial"/>
          <w:szCs w:val="24"/>
          <w:lang w:val="en-US"/>
        </w:rPr>
      </w:pPr>
    </w:p>
    <w:p w14:paraId="06ADB991" w14:textId="77777777" w:rsidR="007F3AC8" w:rsidRPr="00400032" w:rsidRDefault="007F3AC8" w:rsidP="00EF2F91"/>
    <w:p w14:paraId="1B116EA1" w14:textId="77777777" w:rsidR="005031DF" w:rsidRPr="005031DF" w:rsidRDefault="005031DF" w:rsidP="005031DF">
      <w:pPr>
        <w:autoSpaceDE w:val="0"/>
        <w:autoSpaceDN w:val="0"/>
        <w:rPr>
          <w:rFonts w:ascii="Arial Bold" w:hAnsi="Arial Bold"/>
        </w:rPr>
      </w:pPr>
    </w:p>
    <w:p w14:paraId="11BF41CC" w14:textId="77777777" w:rsidR="002A2389" w:rsidRDefault="002A2389" w:rsidP="00912904">
      <w:pPr>
        <w:pStyle w:val="Heading2"/>
      </w:pPr>
      <w:r>
        <w:t>Section 3 - Statutory Officer Clearance</w:t>
      </w:r>
    </w:p>
    <w:p w14:paraId="077143F8" w14:textId="77777777" w:rsidR="002A2389" w:rsidRDefault="002A2389" w:rsidP="008D1750">
      <w:pPr>
        <w:keepNext/>
        <w:rPr>
          <w:rFonts w:cs="Arial"/>
        </w:rPr>
      </w:pPr>
    </w:p>
    <w:p w14:paraId="255FD583" w14:textId="77777777" w:rsidR="007F3AC8" w:rsidRPr="00A66326" w:rsidRDefault="007F3AC8" w:rsidP="007F3AC8">
      <w:pPr>
        <w:rPr>
          <w:sz w:val="28"/>
        </w:rPr>
      </w:pPr>
      <w:r w:rsidRPr="00A66326">
        <w:rPr>
          <w:b/>
          <w:sz w:val="28"/>
        </w:rPr>
        <w:t xml:space="preserve">Statutory Officer:  </w:t>
      </w:r>
    </w:p>
    <w:p w14:paraId="688ED216" w14:textId="6DEDE823" w:rsidR="007F3AC8" w:rsidRPr="00A66326" w:rsidRDefault="007F3AC8" w:rsidP="007F3AC8">
      <w:r>
        <w:t>Signed by</w:t>
      </w:r>
      <w:r w:rsidRPr="00A66326">
        <w:t xml:space="preserve"> the Chief Financial Officer</w:t>
      </w:r>
    </w:p>
    <w:p w14:paraId="4A1E8B7B" w14:textId="77777777" w:rsidR="007F3AC8" w:rsidRDefault="007F3AC8" w:rsidP="007F3AC8">
      <w:pPr>
        <w:ind w:left="360" w:hanging="360"/>
        <w:jc w:val="both"/>
        <w:rPr>
          <w:rFonts w:cs="Arial"/>
          <w:color w:val="FF0000"/>
        </w:rPr>
      </w:pPr>
    </w:p>
    <w:p w14:paraId="10D9C055" w14:textId="3F40626E" w:rsidR="007F3AC8" w:rsidRPr="00761F84" w:rsidRDefault="007F3AC8" w:rsidP="007F3AC8">
      <w:r>
        <w:t>Dawn Calvert</w:t>
      </w:r>
    </w:p>
    <w:p w14:paraId="0CB43DC5" w14:textId="77777777" w:rsidR="007F3AC8" w:rsidRPr="00A66326" w:rsidRDefault="007F3AC8" w:rsidP="007F3AC8">
      <w:pPr>
        <w:rPr>
          <w:sz w:val="28"/>
        </w:rPr>
      </w:pPr>
    </w:p>
    <w:p w14:paraId="79B26D94" w14:textId="629039EF" w:rsidR="007F3AC8" w:rsidRPr="00A66326" w:rsidRDefault="007F3AC8" w:rsidP="007F3AC8">
      <w:pPr>
        <w:spacing w:after="480"/>
        <w:rPr>
          <w:sz w:val="28"/>
        </w:rPr>
      </w:pPr>
      <w:r w:rsidRPr="00A66326">
        <w:rPr>
          <w:b/>
          <w:sz w:val="28"/>
        </w:rPr>
        <w:t xml:space="preserve">Date:  </w:t>
      </w:r>
      <w:r w:rsidR="002421D5" w:rsidRPr="002421D5">
        <w:rPr>
          <w:bCs/>
          <w:sz w:val="28"/>
        </w:rPr>
        <w:t>22</w:t>
      </w:r>
      <w:r w:rsidR="002421D5" w:rsidRPr="002421D5">
        <w:rPr>
          <w:bCs/>
          <w:sz w:val="28"/>
          <w:vertAlign w:val="superscript"/>
        </w:rPr>
        <w:t>nd</w:t>
      </w:r>
      <w:r w:rsidR="002421D5">
        <w:rPr>
          <w:b/>
          <w:sz w:val="28"/>
        </w:rPr>
        <w:t xml:space="preserve"> </w:t>
      </w:r>
      <w:r w:rsidR="005C3531">
        <w:rPr>
          <w:sz w:val="28"/>
        </w:rPr>
        <w:t xml:space="preserve">November </w:t>
      </w:r>
      <w:r w:rsidRPr="00761F84">
        <w:rPr>
          <w:sz w:val="28"/>
        </w:rPr>
        <w:t>2021</w:t>
      </w:r>
    </w:p>
    <w:p w14:paraId="4D22BDC0" w14:textId="77777777" w:rsidR="007F3AC8" w:rsidRPr="00A66326" w:rsidRDefault="007F3AC8" w:rsidP="007F3AC8">
      <w:pPr>
        <w:rPr>
          <w:sz w:val="28"/>
        </w:rPr>
      </w:pPr>
      <w:r w:rsidRPr="00A66326">
        <w:rPr>
          <w:b/>
          <w:sz w:val="28"/>
        </w:rPr>
        <w:t xml:space="preserve">Statutory Officer:  </w:t>
      </w:r>
    </w:p>
    <w:p w14:paraId="48D659AC" w14:textId="77777777" w:rsidR="007F3AC8" w:rsidRDefault="007F3AC8" w:rsidP="007F3AC8">
      <w:r>
        <w:t>Signed on behalf of</w:t>
      </w:r>
      <w:r w:rsidRPr="00A66326">
        <w:t xml:space="preserve"> the Monitoring Officer</w:t>
      </w:r>
    </w:p>
    <w:p w14:paraId="623AFD0A" w14:textId="77777777" w:rsidR="007F3AC8" w:rsidRPr="00A66326" w:rsidRDefault="007F3AC8" w:rsidP="007F3AC8"/>
    <w:p w14:paraId="037F0CC9" w14:textId="520D7D18" w:rsidR="007F3AC8" w:rsidRDefault="002421D5" w:rsidP="007F3AC8">
      <w:r>
        <w:t>Jessica Farmer</w:t>
      </w:r>
    </w:p>
    <w:p w14:paraId="383DD47A" w14:textId="77777777" w:rsidR="007F3AC8" w:rsidRPr="00A66326" w:rsidRDefault="007F3AC8" w:rsidP="007F3AC8">
      <w:pPr>
        <w:rPr>
          <w:sz w:val="28"/>
        </w:rPr>
      </w:pPr>
    </w:p>
    <w:p w14:paraId="3C1A231B" w14:textId="35F34439" w:rsidR="007F3AC8" w:rsidRPr="003313EA" w:rsidRDefault="007F3AC8" w:rsidP="007F3AC8">
      <w:pPr>
        <w:spacing w:after="480"/>
        <w:rPr>
          <w:sz w:val="28"/>
        </w:rPr>
      </w:pPr>
      <w:r w:rsidRPr="00A66326">
        <w:rPr>
          <w:b/>
          <w:sz w:val="28"/>
        </w:rPr>
        <w:t xml:space="preserve">Date:  </w:t>
      </w:r>
      <w:r w:rsidR="002421D5" w:rsidRPr="002421D5">
        <w:rPr>
          <w:bCs/>
          <w:sz w:val="28"/>
        </w:rPr>
        <w:t>22</w:t>
      </w:r>
      <w:r w:rsidR="002421D5" w:rsidRPr="002421D5">
        <w:rPr>
          <w:bCs/>
          <w:sz w:val="28"/>
          <w:vertAlign w:val="superscript"/>
        </w:rPr>
        <w:t>nd</w:t>
      </w:r>
      <w:r w:rsidR="002421D5">
        <w:rPr>
          <w:b/>
          <w:sz w:val="28"/>
        </w:rPr>
        <w:t xml:space="preserve"> </w:t>
      </w:r>
      <w:r w:rsidR="005C3531">
        <w:rPr>
          <w:sz w:val="28"/>
        </w:rPr>
        <w:t xml:space="preserve">November </w:t>
      </w:r>
      <w:r w:rsidRPr="00761F84">
        <w:rPr>
          <w:sz w:val="28"/>
        </w:rPr>
        <w:t>2021</w:t>
      </w:r>
    </w:p>
    <w:p w14:paraId="51C1A377" w14:textId="77777777" w:rsidR="007F3AC8" w:rsidRPr="00A66326" w:rsidRDefault="007F3AC8" w:rsidP="007F3AC8">
      <w:pPr>
        <w:rPr>
          <w:sz w:val="28"/>
        </w:rPr>
      </w:pPr>
      <w:r>
        <w:rPr>
          <w:b/>
          <w:sz w:val="28"/>
        </w:rPr>
        <w:lastRenderedPageBreak/>
        <w:t>Chief</w:t>
      </w:r>
      <w:r w:rsidRPr="00A66326">
        <w:rPr>
          <w:b/>
          <w:sz w:val="28"/>
        </w:rPr>
        <w:t xml:space="preserve"> Officer:  </w:t>
      </w:r>
    </w:p>
    <w:p w14:paraId="0CA8F236" w14:textId="77777777" w:rsidR="007F3AC8" w:rsidRDefault="007F3AC8" w:rsidP="007F3AC8">
      <w:r>
        <w:t>Signed</w:t>
      </w:r>
      <w:r w:rsidRPr="00A66326">
        <w:t xml:space="preserve"> by the Corporate Director</w:t>
      </w:r>
    </w:p>
    <w:p w14:paraId="4860BD43" w14:textId="77777777" w:rsidR="007F3AC8" w:rsidRDefault="007F3AC8" w:rsidP="007F3AC8"/>
    <w:p w14:paraId="42497D4B" w14:textId="77777777" w:rsidR="007F3AC8" w:rsidRPr="00A66326" w:rsidRDefault="007F3AC8" w:rsidP="007F3AC8">
      <w:r w:rsidRPr="008C44FF">
        <w:t>Charlie Stewart</w:t>
      </w:r>
    </w:p>
    <w:p w14:paraId="18588ACD" w14:textId="77777777" w:rsidR="007F3AC8" w:rsidRPr="00A66326" w:rsidRDefault="007F3AC8" w:rsidP="007F3AC8">
      <w:pPr>
        <w:rPr>
          <w:sz w:val="28"/>
        </w:rPr>
      </w:pPr>
    </w:p>
    <w:p w14:paraId="17D1AB2C" w14:textId="654E7C61" w:rsidR="007F3AC8" w:rsidRPr="00A66326" w:rsidRDefault="007F3AC8" w:rsidP="007F3AC8">
      <w:pPr>
        <w:spacing w:after="480"/>
        <w:rPr>
          <w:sz w:val="28"/>
        </w:rPr>
      </w:pPr>
      <w:r w:rsidRPr="00A66326">
        <w:rPr>
          <w:b/>
          <w:sz w:val="28"/>
        </w:rPr>
        <w:t xml:space="preserve">Date:  </w:t>
      </w:r>
      <w:r w:rsidR="002421D5" w:rsidRPr="00AD3D44">
        <w:rPr>
          <w:bCs/>
          <w:sz w:val="28"/>
        </w:rPr>
        <w:t>22</w:t>
      </w:r>
      <w:r w:rsidR="002421D5" w:rsidRPr="00AD3D44">
        <w:rPr>
          <w:bCs/>
          <w:sz w:val="28"/>
          <w:vertAlign w:val="superscript"/>
        </w:rPr>
        <w:t>nd</w:t>
      </w:r>
      <w:r w:rsidR="002421D5">
        <w:rPr>
          <w:b/>
          <w:sz w:val="28"/>
        </w:rPr>
        <w:t xml:space="preserve"> </w:t>
      </w:r>
      <w:r w:rsidR="005C3531">
        <w:rPr>
          <w:sz w:val="28"/>
        </w:rPr>
        <w:t xml:space="preserve">November </w:t>
      </w:r>
      <w:r w:rsidRPr="008C44FF">
        <w:rPr>
          <w:sz w:val="28"/>
        </w:rPr>
        <w:t>2021</w:t>
      </w:r>
    </w:p>
    <w:p w14:paraId="686CE5D8" w14:textId="77777777" w:rsidR="00912904" w:rsidRPr="00435B5D" w:rsidRDefault="00912904" w:rsidP="00912904">
      <w:pPr>
        <w:pStyle w:val="Heading2"/>
        <w:spacing w:after="240"/>
      </w:pPr>
      <w:r>
        <w:t>Mandatory Checks</w:t>
      </w:r>
    </w:p>
    <w:p w14:paraId="71FBC41D" w14:textId="53C65494" w:rsidR="00912904" w:rsidRPr="007F3AC8" w:rsidRDefault="00912904" w:rsidP="007F3AC8">
      <w:r w:rsidRPr="007F3AC8">
        <w:t>Wa</w:t>
      </w:r>
      <w:r w:rsidR="007F3AC8" w:rsidRPr="007F3AC8">
        <w:t>rd Councillors notified: NO</w:t>
      </w:r>
      <w:r w:rsidRPr="007F3AC8">
        <w:t>, as it impacts on all Wards</w:t>
      </w:r>
    </w:p>
    <w:p w14:paraId="629F8205" w14:textId="77777777" w:rsidR="002A2389" w:rsidRDefault="002A2389" w:rsidP="00912904">
      <w:pPr>
        <w:pStyle w:val="Heading2"/>
        <w:keepNext/>
        <w:spacing w:after="240"/>
      </w:pPr>
      <w:r>
        <w:t>Section 4 - Contact Details and Background Papers</w:t>
      </w:r>
    </w:p>
    <w:p w14:paraId="385C8143" w14:textId="77777777" w:rsidR="003879BC" w:rsidRDefault="007F3AC8" w:rsidP="007F3AC8">
      <w:r w:rsidRPr="009E0147">
        <w:rPr>
          <w:b/>
        </w:rPr>
        <w:t>Contact:</w:t>
      </w:r>
      <w:r>
        <w:t xml:space="preserve">  </w:t>
      </w:r>
      <w:r w:rsidRPr="009E0147">
        <w:rPr>
          <w:b/>
        </w:rPr>
        <w:t>Paul Gower</w:t>
      </w:r>
      <w:r w:rsidRPr="008C44FF">
        <w:t xml:space="preserve"> (Interim </w:t>
      </w:r>
      <w:r w:rsidR="003879BC">
        <w:t>Technical Accounting Manager)</w:t>
      </w:r>
    </w:p>
    <w:p w14:paraId="4AAABC01" w14:textId="4FD7C573" w:rsidR="007F3AC8" w:rsidRDefault="007F3AC8" w:rsidP="007F3AC8">
      <w:r w:rsidRPr="008C44FF">
        <w:t>Tel: 020-8424-1335 Email: paul.gower@harrow.gov.uk</w:t>
      </w:r>
    </w:p>
    <w:p w14:paraId="12FB5AD1" w14:textId="77777777" w:rsidR="007F3AC8" w:rsidRDefault="007F3AC8" w:rsidP="007F3AC8">
      <w:pPr>
        <w:pStyle w:val="Infotext"/>
        <w:spacing w:before="360" w:after="120"/>
      </w:pPr>
      <w:r w:rsidRPr="00D914D2">
        <w:rPr>
          <w:b/>
        </w:rPr>
        <w:t>Background Papers</w:t>
      </w:r>
      <w:r>
        <w:t>:</w:t>
      </w:r>
    </w:p>
    <w:p w14:paraId="4FD7BF58" w14:textId="2BBD6FF9" w:rsidR="007F3AC8" w:rsidRDefault="005C3531" w:rsidP="003879BC">
      <w:pPr>
        <w:pStyle w:val="ListParagraph"/>
        <w:numPr>
          <w:ilvl w:val="0"/>
          <w:numId w:val="19"/>
        </w:numPr>
        <w:spacing w:after="120"/>
      </w:pPr>
      <w:r>
        <w:t xml:space="preserve">LBH Harrow </w:t>
      </w:r>
      <w:r w:rsidR="003879BC" w:rsidRPr="003879BC">
        <w:t xml:space="preserve">Statement of Accounts </w:t>
      </w:r>
      <w:r>
        <w:t>2019-20</w:t>
      </w:r>
    </w:p>
    <w:p w14:paraId="4A9B7028" w14:textId="77777777" w:rsidR="007F3AC8" w:rsidRPr="009E0147" w:rsidRDefault="007F3AC8" w:rsidP="007F3AC8">
      <w:pPr>
        <w:pStyle w:val="Infotext"/>
        <w:spacing w:before="360" w:after="240"/>
        <w:rPr>
          <w:sz w:val="24"/>
        </w:rPr>
      </w:pPr>
      <w:r w:rsidRPr="009E0147">
        <w:rPr>
          <w:sz w:val="24"/>
        </w:rPr>
        <w:t xml:space="preserve">If appropriate, does the report include the following considerations? </w:t>
      </w:r>
    </w:p>
    <w:p w14:paraId="482A7E1B" w14:textId="77777777" w:rsidR="007F3AC8" w:rsidRPr="009E0147" w:rsidRDefault="007F3AC8" w:rsidP="007F3AC8">
      <w:pPr>
        <w:spacing w:after="120"/>
        <w:ind w:left="360"/>
      </w:pPr>
      <w:r>
        <w:t>1</w:t>
      </w:r>
      <w:r w:rsidRPr="009E0147">
        <w:tab/>
        <w:t xml:space="preserve">Consultation </w:t>
      </w:r>
      <w:r w:rsidRPr="009E0147">
        <w:tab/>
      </w:r>
      <w:r w:rsidRPr="009E0147">
        <w:tab/>
      </w:r>
      <w:r w:rsidRPr="009E0147">
        <w:tab/>
      </w:r>
      <w:r w:rsidRPr="009E0147">
        <w:tab/>
      </w:r>
      <w:r>
        <w:t>No</w:t>
      </w:r>
    </w:p>
    <w:p w14:paraId="2134A7E7" w14:textId="77777777" w:rsidR="007F3AC8" w:rsidRPr="009E0147" w:rsidRDefault="007F3AC8" w:rsidP="007F3AC8">
      <w:pPr>
        <w:spacing w:after="120"/>
        <w:ind w:left="360"/>
      </w:pPr>
      <w:r>
        <w:t>2</w:t>
      </w:r>
      <w:r w:rsidRPr="009E0147">
        <w:tab/>
        <w:t>Priorities</w:t>
      </w:r>
      <w:r w:rsidRPr="009E0147">
        <w:tab/>
      </w:r>
      <w:r w:rsidRPr="009E0147">
        <w:tab/>
      </w:r>
      <w:r w:rsidRPr="009E0147">
        <w:tab/>
      </w:r>
      <w:r w:rsidRPr="009E0147">
        <w:tab/>
      </w:r>
      <w:r>
        <w:t>No</w:t>
      </w:r>
      <w:r w:rsidRPr="009E0147">
        <w:t xml:space="preserve"> </w:t>
      </w:r>
    </w:p>
    <w:p w14:paraId="695B009D" w14:textId="77777777" w:rsidR="002A2389" w:rsidRDefault="002A2389"/>
    <w:sectPr w:rsidR="002A2389" w:rsidSect="00FF71E5">
      <w:type w:val="continuous"/>
      <w:pgSz w:w="11909" w:h="16834" w:code="9"/>
      <w:pgMar w:top="1008" w:right="1800" w:bottom="1152" w:left="1800" w:header="100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CA9BD4" w14:textId="77777777" w:rsidR="00927DE7" w:rsidRDefault="00927DE7">
      <w:r>
        <w:separator/>
      </w:r>
    </w:p>
  </w:endnote>
  <w:endnote w:type="continuationSeparator" w:id="0">
    <w:p w14:paraId="67E3E188" w14:textId="77777777" w:rsidR="00927DE7" w:rsidRDefault="00927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
    <w:altName w:val="Yu Gothic"/>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26B3A5" w14:textId="77777777" w:rsidR="00927DE7" w:rsidRDefault="00927DE7">
      <w:r>
        <w:separator/>
      </w:r>
    </w:p>
  </w:footnote>
  <w:footnote w:type="continuationSeparator" w:id="0">
    <w:p w14:paraId="1BE71165" w14:textId="77777777" w:rsidR="00927DE7" w:rsidRDefault="00927D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77F52"/>
    <w:multiLevelType w:val="hybridMultilevel"/>
    <w:tmpl w:val="7F72C69C"/>
    <w:lvl w:ilvl="0" w:tplc="D73C90C0">
      <w:start w:val="1"/>
      <w:numFmt w:val="bullet"/>
      <w:lvlText w:val=""/>
      <w:lvlJc w:val="left"/>
      <w:pPr>
        <w:ind w:left="720" w:hanging="72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342281C"/>
    <w:multiLevelType w:val="hybridMultilevel"/>
    <w:tmpl w:val="E594004A"/>
    <w:lvl w:ilvl="0" w:tplc="75F6ED5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47F19"/>
    <w:multiLevelType w:val="hybridMultilevel"/>
    <w:tmpl w:val="46D84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CE0B17"/>
    <w:multiLevelType w:val="hybridMultilevel"/>
    <w:tmpl w:val="9A0C48C8"/>
    <w:lvl w:ilvl="0" w:tplc="2514E29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DC3909"/>
    <w:multiLevelType w:val="hybridMultilevel"/>
    <w:tmpl w:val="A9162E52"/>
    <w:lvl w:ilvl="0" w:tplc="113ECF8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9" w15:restartNumberingAfterBreak="0">
    <w:nsid w:val="426D1A49"/>
    <w:multiLevelType w:val="hybridMultilevel"/>
    <w:tmpl w:val="2EAE15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3282926"/>
    <w:multiLevelType w:val="multilevel"/>
    <w:tmpl w:val="9732F4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7D5256"/>
    <w:multiLevelType w:val="hybridMultilevel"/>
    <w:tmpl w:val="97203EB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3028D4"/>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43C7AC5"/>
    <w:multiLevelType w:val="hybridMultilevel"/>
    <w:tmpl w:val="396C3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6C132A"/>
    <w:multiLevelType w:val="multilevel"/>
    <w:tmpl w:val="E59069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2"/>
  </w:num>
  <w:num w:numId="3">
    <w:abstractNumId w:val="16"/>
  </w:num>
  <w:num w:numId="4">
    <w:abstractNumId w:val="1"/>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8"/>
  </w:num>
  <w:num w:numId="8">
    <w:abstractNumId w:val="5"/>
  </w:num>
  <w:num w:numId="9">
    <w:abstractNumId w:val="4"/>
  </w:num>
  <w:num w:numId="10">
    <w:abstractNumId w:val="15"/>
  </w:num>
  <w:num w:numId="11">
    <w:abstractNumId w:val="20"/>
  </w:num>
  <w:num w:numId="12">
    <w:abstractNumId w:val="13"/>
  </w:num>
  <w:num w:numId="13">
    <w:abstractNumId w:val="3"/>
  </w:num>
  <w:num w:numId="14">
    <w:abstractNumId w:val="6"/>
  </w:num>
  <w:num w:numId="15">
    <w:abstractNumId w:val="11"/>
  </w:num>
  <w:num w:numId="16">
    <w:abstractNumId w:val="10"/>
  </w:num>
  <w:num w:numId="17">
    <w:abstractNumId w:val="19"/>
  </w:num>
  <w:num w:numId="18">
    <w:abstractNumId w:val="14"/>
  </w:num>
  <w:num w:numId="19">
    <w:abstractNumId w:val="9"/>
  </w:num>
  <w:num w:numId="20">
    <w:abstractNumId w:val="0"/>
  </w:num>
  <w:num w:numId="21">
    <w:abstractNumId w:val="18"/>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303"/>
    <w:rsid w:val="00023F4C"/>
    <w:rsid w:val="000431B8"/>
    <w:rsid w:val="00057F10"/>
    <w:rsid w:val="000633A2"/>
    <w:rsid w:val="00063A23"/>
    <w:rsid w:val="00071D25"/>
    <w:rsid w:val="00071EB4"/>
    <w:rsid w:val="00077298"/>
    <w:rsid w:val="000A58A1"/>
    <w:rsid w:val="000A6659"/>
    <w:rsid w:val="000B0E6F"/>
    <w:rsid w:val="000B6DBB"/>
    <w:rsid w:val="000D2BF2"/>
    <w:rsid w:val="000D5870"/>
    <w:rsid w:val="000F65C0"/>
    <w:rsid w:val="001720F1"/>
    <w:rsid w:val="001939BA"/>
    <w:rsid w:val="001A6EB0"/>
    <w:rsid w:val="001B441D"/>
    <w:rsid w:val="001C5225"/>
    <w:rsid w:val="001D6332"/>
    <w:rsid w:val="001E0219"/>
    <w:rsid w:val="00200B9C"/>
    <w:rsid w:val="00205692"/>
    <w:rsid w:val="00213BE7"/>
    <w:rsid w:val="00231A1D"/>
    <w:rsid w:val="002421D5"/>
    <w:rsid w:val="00244120"/>
    <w:rsid w:val="00293F9F"/>
    <w:rsid w:val="002A2389"/>
    <w:rsid w:val="002C08E2"/>
    <w:rsid w:val="002C1794"/>
    <w:rsid w:val="002D2FC5"/>
    <w:rsid w:val="002E6637"/>
    <w:rsid w:val="002E77E3"/>
    <w:rsid w:val="00332947"/>
    <w:rsid w:val="00333EB4"/>
    <w:rsid w:val="00345915"/>
    <w:rsid w:val="00365D29"/>
    <w:rsid w:val="00374F22"/>
    <w:rsid w:val="003879BC"/>
    <w:rsid w:val="003D2FFE"/>
    <w:rsid w:val="00400032"/>
    <w:rsid w:val="0042394B"/>
    <w:rsid w:val="00473B08"/>
    <w:rsid w:val="00474B5F"/>
    <w:rsid w:val="004A3CE6"/>
    <w:rsid w:val="004A4A1D"/>
    <w:rsid w:val="004B2C9D"/>
    <w:rsid w:val="004B4A47"/>
    <w:rsid w:val="004E667D"/>
    <w:rsid w:val="004E6AF9"/>
    <w:rsid w:val="004F0AFD"/>
    <w:rsid w:val="005031DF"/>
    <w:rsid w:val="00570F59"/>
    <w:rsid w:val="00597314"/>
    <w:rsid w:val="005A61AF"/>
    <w:rsid w:val="005C3531"/>
    <w:rsid w:val="005D0886"/>
    <w:rsid w:val="005E384D"/>
    <w:rsid w:val="005F2181"/>
    <w:rsid w:val="005F724B"/>
    <w:rsid w:val="00625DFF"/>
    <w:rsid w:val="006271B7"/>
    <w:rsid w:val="0063072B"/>
    <w:rsid w:val="00662891"/>
    <w:rsid w:val="006628B7"/>
    <w:rsid w:val="00675FCB"/>
    <w:rsid w:val="006945E1"/>
    <w:rsid w:val="006A0B87"/>
    <w:rsid w:val="006B3942"/>
    <w:rsid w:val="006C3914"/>
    <w:rsid w:val="006D3648"/>
    <w:rsid w:val="0074184E"/>
    <w:rsid w:val="00743829"/>
    <w:rsid w:val="00755F8D"/>
    <w:rsid w:val="00796503"/>
    <w:rsid w:val="007D2BDA"/>
    <w:rsid w:val="007D56C8"/>
    <w:rsid w:val="007E3934"/>
    <w:rsid w:val="007E7303"/>
    <w:rsid w:val="007F3AC8"/>
    <w:rsid w:val="008168E8"/>
    <w:rsid w:val="008212A0"/>
    <w:rsid w:val="00837F53"/>
    <w:rsid w:val="008D1750"/>
    <w:rsid w:val="008D7800"/>
    <w:rsid w:val="008E2910"/>
    <w:rsid w:val="008E4913"/>
    <w:rsid w:val="00900464"/>
    <w:rsid w:val="0090100E"/>
    <w:rsid w:val="00906981"/>
    <w:rsid w:val="00912904"/>
    <w:rsid w:val="00927DE7"/>
    <w:rsid w:val="0093767E"/>
    <w:rsid w:val="00972A02"/>
    <w:rsid w:val="0099517C"/>
    <w:rsid w:val="009A0937"/>
    <w:rsid w:val="009B2ECD"/>
    <w:rsid w:val="009B7914"/>
    <w:rsid w:val="009F430B"/>
    <w:rsid w:val="00A160B2"/>
    <w:rsid w:val="00A46CEF"/>
    <w:rsid w:val="00A566E7"/>
    <w:rsid w:val="00A940D3"/>
    <w:rsid w:val="00A96FCA"/>
    <w:rsid w:val="00AA4BE8"/>
    <w:rsid w:val="00AC0AAB"/>
    <w:rsid w:val="00AC7BA9"/>
    <w:rsid w:val="00AD3D44"/>
    <w:rsid w:val="00AF4C9C"/>
    <w:rsid w:val="00B0425E"/>
    <w:rsid w:val="00B81A87"/>
    <w:rsid w:val="00B900E2"/>
    <w:rsid w:val="00B9118E"/>
    <w:rsid w:val="00B97662"/>
    <w:rsid w:val="00BA35EA"/>
    <w:rsid w:val="00BD6115"/>
    <w:rsid w:val="00BD684A"/>
    <w:rsid w:val="00C32DAE"/>
    <w:rsid w:val="00C40E24"/>
    <w:rsid w:val="00C57920"/>
    <w:rsid w:val="00C61B80"/>
    <w:rsid w:val="00C92D9A"/>
    <w:rsid w:val="00C96EF5"/>
    <w:rsid w:val="00D25064"/>
    <w:rsid w:val="00D32B51"/>
    <w:rsid w:val="00D34668"/>
    <w:rsid w:val="00D3740E"/>
    <w:rsid w:val="00D40335"/>
    <w:rsid w:val="00D82F57"/>
    <w:rsid w:val="00D841A5"/>
    <w:rsid w:val="00D914D2"/>
    <w:rsid w:val="00DA0A57"/>
    <w:rsid w:val="00DA25DB"/>
    <w:rsid w:val="00DB0791"/>
    <w:rsid w:val="00DD4251"/>
    <w:rsid w:val="00E02B50"/>
    <w:rsid w:val="00E03F11"/>
    <w:rsid w:val="00E06DC8"/>
    <w:rsid w:val="00E201BC"/>
    <w:rsid w:val="00E220B5"/>
    <w:rsid w:val="00E33D93"/>
    <w:rsid w:val="00E609EF"/>
    <w:rsid w:val="00E8515B"/>
    <w:rsid w:val="00E90AFF"/>
    <w:rsid w:val="00EB407D"/>
    <w:rsid w:val="00EB424A"/>
    <w:rsid w:val="00EF2F91"/>
    <w:rsid w:val="00F33EE3"/>
    <w:rsid w:val="00F4213B"/>
    <w:rsid w:val="00F849ED"/>
    <w:rsid w:val="00F92398"/>
    <w:rsid w:val="00FC03B1"/>
    <w:rsid w:val="00FD31A0"/>
    <w:rsid w:val="00FF6AAD"/>
    <w:rsid w:val="00FF71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8E5ED5E"/>
  <w15:docId w15:val="{2F5E51B0-C0A7-4201-9BCE-CCFF29DE7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912904"/>
    <w:pPr>
      <w:spacing w:before="0"/>
      <w:outlineLvl w:val="0"/>
    </w:pPr>
    <w:rPr>
      <w:b/>
      <w:sz w:val="36"/>
    </w:rPr>
  </w:style>
  <w:style w:type="paragraph" w:styleId="Heading2">
    <w:name w:val="heading 2"/>
    <w:basedOn w:val="Normal"/>
    <w:next w:val="Normal"/>
    <w:link w:val="Heading2Char"/>
    <w:qFormat/>
    <w:rsid w:val="003D2FFE"/>
    <w:pPr>
      <w:spacing w:before="480"/>
      <w:outlineLvl w:val="1"/>
    </w:pPr>
    <w:rPr>
      <w:rFonts w:ascii="Arial Black" w:hAnsi="Arial Black" w:cs="Arial"/>
      <w:bCs/>
      <w:sz w:val="32"/>
      <w:szCs w:val="32"/>
    </w:rPr>
  </w:style>
  <w:style w:type="paragraph" w:styleId="Heading3">
    <w:name w:val="heading 3"/>
    <w:basedOn w:val="Normal"/>
    <w:next w:val="Normal"/>
    <w:qFormat/>
    <w:rsid w:val="00C61B80"/>
    <w:pPr>
      <w:ind w:left="720" w:hanging="720"/>
      <w:jc w:val="both"/>
      <w:outlineLvl w:val="2"/>
    </w:pPr>
    <w:rPr>
      <w:rFonts w:cs="Arial"/>
      <w:b/>
      <w:bCs/>
      <w:szCs w:val="28"/>
    </w:rPr>
  </w:style>
  <w:style w:type="paragraph" w:styleId="Heading4">
    <w:name w:val="heading 4"/>
    <w:basedOn w:val="Normal"/>
    <w:next w:val="Normal"/>
    <w:qFormat/>
    <w:rsid w:val="00C61B80"/>
    <w:pPr>
      <w:keepNext/>
      <w:spacing w:after="240"/>
      <w:outlineLvl w:val="3"/>
    </w:pPr>
    <w:rPr>
      <w:rFonts w:cs="Arial"/>
      <w:b/>
      <w:sz w:val="28"/>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C32DAE"/>
    <w:pPr>
      <w:spacing w:before="100" w:beforeAutospacing="1" w:after="100" w:afterAutospacing="1"/>
    </w:pPr>
    <w:rPr>
      <w:rFonts w:ascii="Times New Roman" w:hAnsi="Times New Roman"/>
      <w:szCs w:val="24"/>
      <w:lang w:val="en-US"/>
    </w:rPr>
  </w:style>
  <w:style w:type="paragraph" w:customStyle="1" w:styleId="CharCharCharCharCharCharCharChar">
    <w:name w:val="Char Char Char Char Char Char Char Char"/>
    <w:basedOn w:val="Normal"/>
    <w:rsid w:val="001E0219"/>
    <w:pPr>
      <w:spacing w:after="160" w:line="240" w:lineRule="exact"/>
    </w:pPr>
    <w:rPr>
      <w:rFonts w:ascii="Tahoma" w:hAnsi="Tahoma"/>
      <w:sz w:val="20"/>
      <w:lang w:eastAsia="en-GB"/>
    </w:rPr>
  </w:style>
  <w:style w:type="paragraph" w:customStyle="1" w:styleId="CharCharCharChar2">
    <w:name w:val="Char Char Char Char2"/>
    <w:basedOn w:val="Normal"/>
    <w:locked/>
    <w:rsid w:val="00332947"/>
    <w:pPr>
      <w:spacing w:after="160" w:line="240" w:lineRule="exact"/>
    </w:pPr>
    <w:rPr>
      <w:rFonts w:ascii="Verdana" w:eastAsia="MS ??" w:hAnsi="Verdana" w:cs="Verdana"/>
      <w:sz w:val="20"/>
      <w:lang w:val="en-US"/>
    </w:rPr>
  </w:style>
  <w:style w:type="character" w:styleId="PageNumber">
    <w:name w:val="page number"/>
    <w:rsid w:val="00213BE7"/>
  </w:style>
  <w:style w:type="paragraph" w:customStyle="1" w:styleId="CharCharCharChar">
    <w:name w:val="Char Char Char Char"/>
    <w:basedOn w:val="Normal"/>
    <w:locked/>
    <w:rsid w:val="00213BE7"/>
    <w:pPr>
      <w:spacing w:after="160" w:line="240" w:lineRule="exact"/>
    </w:pPr>
    <w:rPr>
      <w:rFonts w:ascii="Verdana" w:hAnsi="Verdana"/>
      <w:sz w:val="20"/>
      <w:lang w:val="en-US"/>
    </w:rPr>
  </w:style>
  <w:style w:type="character" w:styleId="Hyperlink">
    <w:name w:val="Hyperlink"/>
    <w:rsid w:val="00213BE7"/>
    <w:rPr>
      <w:color w:val="0000FF"/>
      <w:u w:val="single"/>
    </w:rPr>
  </w:style>
  <w:style w:type="paragraph" w:styleId="ListParagraph">
    <w:name w:val="List Paragraph"/>
    <w:basedOn w:val="Normal"/>
    <w:qFormat/>
    <w:rsid w:val="00213BE7"/>
    <w:pPr>
      <w:ind w:left="720"/>
    </w:pPr>
    <w:rPr>
      <w:rFonts w:eastAsia="Calibri" w:cs="Arial"/>
      <w:color w:val="000000"/>
      <w:sz w:val="22"/>
      <w:szCs w:val="22"/>
      <w:lang w:eastAsia="en-GB"/>
    </w:rPr>
  </w:style>
  <w:style w:type="table" w:customStyle="1" w:styleId="Style1">
    <w:name w:val="Style1"/>
    <w:basedOn w:val="TableNormal"/>
    <w:uiPriority w:val="99"/>
    <w:rsid w:val="00A160B2"/>
    <w:rPr>
      <w:rFonts w:ascii="Arial" w:hAnsi="Arial"/>
      <w:sz w:val="24"/>
    </w:rPr>
    <w:tblPr/>
    <w:tcPr>
      <w:shd w:val="clear" w:color="auto" w:fill="FFFFFF" w:themeFill="background1"/>
    </w:tcPr>
  </w:style>
  <w:style w:type="character" w:styleId="FollowedHyperlink">
    <w:name w:val="FollowedHyperlink"/>
    <w:basedOn w:val="DefaultParagraphFont"/>
    <w:rsid w:val="00912904"/>
    <w:rPr>
      <w:color w:val="800080" w:themeColor="followedHyperlink"/>
      <w:u w:val="single"/>
    </w:rPr>
  </w:style>
  <w:style w:type="character" w:customStyle="1" w:styleId="UnresolvedMention1">
    <w:name w:val="Unresolved Mention1"/>
    <w:basedOn w:val="DefaultParagraphFont"/>
    <w:uiPriority w:val="99"/>
    <w:semiHidden/>
    <w:unhideWhenUsed/>
    <w:rsid w:val="006B3942"/>
    <w:rPr>
      <w:color w:val="605E5C"/>
      <w:shd w:val="clear" w:color="auto" w:fill="E1DFDD"/>
    </w:rPr>
  </w:style>
  <w:style w:type="paragraph" w:customStyle="1" w:styleId="paragraph">
    <w:name w:val="paragraph"/>
    <w:basedOn w:val="Normal"/>
    <w:rsid w:val="00570F59"/>
    <w:pPr>
      <w:spacing w:before="100" w:beforeAutospacing="1" w:after="100" w:afterAutospacing="1"/>
    </w:pPr>
    <w:rPr>
      <w:rFonts w:ascii="Times New Roman" w:hAnsi="Times New Roman"/>
      <w:szCs w:val="24"/>
      <w:lang w:eastAsia="en-GB"/>
    </w:rPr>
  </w:style>
  <w:style w:type="character" w:customStyle="1" w:styleId="normaltextrun">
    <w:name w:val="normaltextrun"/>
    <w:basedOn w:val="DefaultParagraphFont"/>
    <w:rsid w:val="00570F59"/>
  </w:style>
  <w:style w:type="character" w:customStyle="1" w:styleId="eop">
    <w:name w:val="eop"/>
    <w:basedOn w:val="DefaultParagraphFont"/>
    <w:rsid w:val="00570F59"/>
  </w:style>
  <w:style w:type="character" w:customStyle="1" w:styleId="Heading2Char">
    <w:name w:val="Heading 2 Char"/>
    <w:basedOn w:val="DefaultParagraphFont"/>
    <w:link w:val="Heading2"/>
    <w:rsid w:val="001D6332"/>
    <w:rPr>
      <w:rFonts w:ascii="Arial Black" w:hAnsi="Arial Black" w:cs="Arial"/>
      <w:bCs/>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9479810">
      <w:bodyDiv w:val="1"/>
      <w:marLeft w:val="0"/>
      <w:marRight w:val="0"/>
      <w:marTop w:val="0"/>
      <w:marBottom w:val="0"/>
      <w:divBdr>
        <w:top w:val="none" w:sz="0" w:space="0" w:color="auto"/>
        <w:left w:val="none" w:sz="0" w:space="0" w:color="auto"/>
        <w:bottom w:val="none" w:sz="0" w:space="0" w:color="auto"/>
        <w:right w:val="none" w:sz="0" w:space="0" w:color="auto"/>
      </w:divBdr>
      <w:divsChild>
        <w:div w:id="850028631">
          <w:marLeft w:val="0"/>
          <w:marRight w:val="0"/>
          <w:marTop w:val="0"/>
          <w:marBottom w:val="0"/>
          <w:divBdr>
            <w:top w:val="none" w:sz="0" w:space="0" w:color="auto"/>
            <w:left w:val="none" w:sz="0" w:space="0" w:color="auto"/>
            <w:bottom w:val="none" w:sz="0" w:space="0" w:color="auto"/>
            <w:right w:val="none" w:sz="0" w:space="0" w:color="auto"/>
          </w:divBdr>
        </w:div>
        <w:div w:id="1753315050">
          <w:marLeft w:val="0"/>
          <w:marRight w:val="0"/>
          <w:marTop w:val="0"/>
          <w:marBottom w:val="0"/>
          <w:divBdr>
            <w:top w:val="none" w:sz="0" w:space="0" w:color="auto"/>
            <w:left w:val="none" w:sz="0" w:space="0" w:color="auto"/>
            <w:bottom w:val="none" w:sz="0" w:space="0" w:color="auto"/>
            <w:right w:val="none" w:sz="0" w:space="0" w:color="auto"/>
          </w:divBdr>
        </w:div>
        <w:div w:id="337003850">
          <w:marLeft w:val="0"/>
          <w:marRight w:val="0"/>
          <w:marTop w:val="0"/>
          <w:marBottom w:val="0"/>
          <w:divBdr>
            <w:top w:val="none" w:sz="0" w:space="0" w:color="auto"/>
            <w:left w:val="none" w:sz="0" w:space="0" w:color="auto"/>
            <w:bottom w:val="none" w:sz="0" w:space="0" w:color="auto"/>
            <w:right w:val="none" w:sz="0" w:space="0" w:color="auto"/>
          </w:divBdr>
        </w:div>
        <w:div w:id="1317492579">
          <w:marLeft w:val="0"/>
          <w:marRight w:val="0"/>
          <w:marTop w:val="0"/>
          <w:marBottom w:val="0"/>
          <w:divBdr>
            <w:top w:val="none" w:sz="0" w:space="0" w:color="auto"/>
            <w:left w:val="none" w:sz="0" w:space="0" w:color="auto"/>
            <w:bottom w:val="none" w:sz="0" w:space="0" w:color="auto"/>
            <w:right w:val="none" w:sz="0" w:space="0" w:color="auto"/>
          </w:divBdr>
        </w:div>
        <w:div w:id="546458457">
          <w:marLeft w:val="0"/>
          <w:marRight w:val="0"/>
          <w:marTop w:val="0"/>
          <w:marBottom w:val="0"/>
          <w:divBdr>
            <w:top w:val="none" w:sz="0" w:space="0" w:color="auto"/>
            <w:left w:val="none" w:sz="0" w:space="0" w:color="auto"/>
            <w:bottom w:val="none" w:sz="0" w:space="0" w:color="auto"/>
            <w:right w:val="none" w:sz="0" w:space="0" w:color="auto"/>
          </w:divBdr>
        </w:div>
        <w:div w:id="602149700">
          <w:marLeft w:val="0"/>
          <w:marRight w:val="0"/>
          <w:marTop w:val="0"/>
          <w:marBottom w:val="0"/>
          <w:divBdr>
            <w:top w:val="none" w:sz="0" w:space="0" w:color="auto"/>
            <w:left w:val="none" w:sz="0" w:space="0" w:color="auto"/>
            <w:bottom w:val="none" w:sz="0" w:space="0" w:color="auto"/>
            <w:right w:val="none" w:sz="0" w:space="0" w:color="auto"/>
          </w:divBdr>
        </w:div>
        <w:div w:id="506335313">
          <w:marLeft w:val="0"/>
          <w:marRight w:val="0"/>
          <w:marTop w:val="0"/>
          <w:marBottom w:val="0"/>
          <w:divBdr>
            <w:top w:val="none" w:sz="0" w:space="0" w:color="auto"/>
            <w:left w:val="none" w:sz="0" w:space="0" w:color="auto"/>
            <w:bottom w:val="none" w:sz="0" w:space="0" w:color="auto"/>
            <w:right w:val="none" w:sz="0" w:space="0" w:color="auto"/>
          </w:divBdr>
        </w:div>
        <w:div w:id="1998148929">
          <w:marLeft w:val="0"/>
          <w:marRight w:val="0"/>
          <w:marTop w:val="0"/>
          <w:marBottom w:val="0"/>
          <w:divBdr>
            <w:top w:val="none" w:sz="0" w:space="0" w:color="auto"/>
            <w:left w:val="none" w:sz="0" w:space="0" w:color="auto"/>
            <w:bottom w:val="none" w:sz="0" w:space="0" w:color="auto"/>
            <w:right w:val="none" w:sz="0" w:space="0" w:color="auto"/>
          </w:divBdr>
        </w:div>
        <w:div w:id="1247306420">
          <w:marLeft w:val="0"/>
          <w:marRight w:val="0"/>
          <w:marTop w:val="0"/>
          <w:marBottom w:val="0"/>
          <w:divBdr>
            <w:top w:val="none" w:sz="0" w:space="0" w:color="auto"/>
            <w:left w:val="none" w:sz="0" w:space="0" w:color="auto"/>
            <w:bottom w:val="none" w:sz="0" w:space="0" w:color="auto"/>
            <w:right w:val="none" w:sz="0" w:space="0" w:color="auto"/>
          </w:divBdr>
        </w:div>
        <w:div w:id="1067150490">
          <w:marLeft w:val="0"/>
          <w:marRight w:val="0"/>
          <w:marTop w:val="0"/>
          <w:marBottom w:val="0"/>
          <w:divBdr>
            <w:top w:val="none" w:sz="0" w:space="0" w:color="auto"/>
            <w:left w:val="none" w:sz="0" w:space="0" w:color="auto"/>
            <w:bottom w:val="none" w:sz="0" w:space="0" w:color="auto"/>
            <w:right w:val="none" w:sz="0" w:space="0" w:color="auto"/>
          </w:divBdr>
        </w:div>
        <w:div w:id="1948850246">
          <w:marLeft w:val="0"/>
          <w:marRight w:val="0"/>
          <w:marTop w:val="0"/>
          <w:marBottom w:val="0"/>
          <w:divBdr>
            <w:top w:val="none" w:sz="0" w:space="0" w:color="auto"/>
            <w:left w:val="none" w:sz="0" w:space="0" w:color="auto"/>
            <w:bottom w:val="none" w:sz="0" w:space="0" w:color="auto"/>
            <w:right w:val="none" w:sz="0" w:space="0" w:color="auto"/>
          </w:divBdr>
        </w:div>
        <w:div w:id="1236890985">
          <w:marLeft w:val="0"/>
          <w:marRight w:val="0"/>
          <w:marTop w:val="0"/>
          <w:marBottom w:val="0"/>
          <w:divBdr>
            <w:top w:val="none" w:sz="0" w:space="0" w:color="auto"/>
            <w:left w:val="none" w:sz="0" w:space="0" w:color="auto"/>
            <w:bottom w:val="none" w:sz="0" w:space="0" w:color="auto"/>
            <w:right w:val="none" w:sz="0" w:space="0" w:color="auto"/>
          </w:divBdr>
        </w:div>
        <w:div w:id="1523477020">
          <w:marLeft w:val="0"/>
          <w:marRight w:val="0"/>
          <w:marTop w:val="0"/>
          <w:marBottom w:val="0"/>
          <w:divBdr>
            <w:top w:val="none" w:sz="0" w:space="0" w:color="auto"/>
            <w:left w:val="none" w:sz="0" w:space="0" w:color="auto"/>
            <w:bottom w:val="none" w:sz="0" w:space="0" w:color="auto"/>
            <w:right w:val="none" w:sz="0" w:space="0" w:color="auto"/>
          </w:divBdr>
        </w:div>
        <w:div w:id="1553543993">
          <w:marLeft w:val="0"/>
          <w:marRight w:val="0"/>
          <w:marTop w:val="0"/>
          <w:marBottom w:val="0"/>
          <w:divBdr>
            <w:top w:val="none" w:sz="0" w:space="0" w:color="auto"/>
            <w:left w:val="none" w:sz="0" w:space="0" w:color="auto"/>
            <w:bottom w:val="none" w:sz="0" w:space="0" w:color="auto"/>
            <w:right w:val="none" w:sz="0" w:space="0" w:color="auto"/>
          </w:divBdr>
        </w:div>
        <w:div w:id="502472169">
          <w:marLeft w:val="0"/>
          <w:marRight w:val="0"/>
          <w:marTop w:val="0"/>
          <w:marBottom w:val="0"/>
          <w:divBdr>
            <w:top w:val="none" w:sz="0" w:space="0" w:color="auto"/>
            <w:left w:val="none" w:sz="0" w:space="0" w:color="auto"/>
            <w:bottom w:val="none" w:sz="0" w:space="0" w:color="auto"/>
            <w:right w:val="none" w:sz="0" w:space="0" w:color="auto"/>
          </w:divBdr>
        </w:div>
        <w:div w:id="2094744131">
          <w:marLeft w:val="0"/>
          <w:marRight w:val="0"/>
          <w:marTop w:val="0"/>
          <w:marBottom w:val="0"/>
          <w:divBdr>
            <w:top w:val="none" w:sz="0" w:space="0" w:color="auto"/>
            <w:left w:val="none" w:sz="0" w:space="0" w:color="auto"/>
            <w:bottom w:val="none" w:sz="0" w:space="0" w:color="auto"/>
            <w:right w:val="none" w:sz="0" w:space="0" w:color="auto"/>
          </w:divBdr>
        </w:div>
        <w:div w:id="555438017">
          <w:marLeft w:val="0"/>
          <w:marRight w:val="0"/>
          <w:marTop w:val="0"/>
          <w:marBottom w:val="0"/>
          <w:divBdr>
            <w:top w:val="none" w:sz="0" w:space="0" w:color="auto"/>
            <w:left w:val="none" w:sz="0" w:space="0" w:color="auto"/>
            <w:bottom w:val="none" w:sz="0" w:space="0" w:color="auto"/>
            <w:right w:val="none" w:sz="0" w:space="0" w:color="auto"/>
          </w:divBdr>
        </w:div>
        <w:div w:id="767384404">
          <w:marLeft w:val="0"/>
          <w:marRight w:val="0"/>
          <w:marTop w:val="0"/>
          <w:marBottom w:val="0"/>
          <w:divBdr>
            <w:top w:val="none" w:sz="0" w:space="0" w:color="auto"/>
            <w:left w:val="none" w:sz="0" w:space="0" w:color="auto"/>
            <w:bottom w:val="none" w:sz="0" w:space="0" w:color="auto"/>
            <w:right w:val="none" w:sz="0" w:space="0" w:color="auto"/>
          </w:divBdr>
        </w:div>
        <w:div w:id="1454130072">
          <w:marLeft w:val="0"/>
          <w:marRight w:val="0"/>
          <w:marTop w:val="0"/>
          <w:marBottom w:val="0"/>
          <w:divBdr>
            <w:top w:val="none" w:sz="0" w:space="0" w:color="auto"/>
            <w:left w:val="none" w:sz="0" w:space="0" w:color="auto"/>
            <w:bottom w:val="none" w:sz="0" w:space="0" w:color="auto"/>
            <w:right w:val="none" w:sz="0" w:space="0" w:color="auto"/>
          </w:divBdr>
        </w:div>
        <w:div w:id="853347851">
          <w:marLeft w:val="0"/>
          <w:marRight w:val="0"/>
          <w:marTop w:val="0"/>
          <w:marBottom w:val="0"/>
          <w:divBdr>
            <w:top w:val="none" w:sz="0" w:space="0" w:color="auto"/>
            <w:left w:val="none" w:sz="0" w:space="0" w:color="auto"/>
            <w:bottom w:val="none" w:sz="0" w:space="0" w:color="auto"/>
            <w:right w:val="none" w:sz="0" w:space="0" w:color="auto"/>
          </w:divBdr>
        </w:div>
        <w:div w:id="1025210875">
          <w:marLeft w:val="0"/>
          <w:marRight w:val="0"/>
          <w:marTop w:val="0"/>
          <w:marBottom w:val="0"/>
          <w:divBdr>
            <w:top w:val="none" w:sz="0" w:space="0" w:color="auto"/>
            <w:left w:val="none" w:sz="0" w:space="0" w:color="auto"/>
            <w:bottom w:val="none" w:sz="0" w:space="0" w:color="auto"/>
            <w:right w:val="none" w:sz="0" w:space="0" w:color="auto"/>
          </w:divBdr>
        </w:div>
        <w:div w:id="626005486">
          <w:marLeft w:val="0"/>
          <w:marRight w:val="0"/>
          <w:marTop w:val="0"/>
          <w:marBottom w:val="0"/>
          <w:divBdr>
            <w:top w:val="none" w:sz="0" w:space="0" w:color="auto"/>
            <w:left w:val="none" w:sz="0" w:space="0" w:color="auto"/>
            <w:bottom w:val="none" w:sz="0" w:space="0" w:color="auto"/>
            <w:right w:val="none" w:sz="0" w:space="0" w:color="auto"/>
          </w:divBdr>
          <w:divsChild>
            <w:div w:id="291713352">
              <w:marLeft w:val="0"/>
              <w:marRight w:val="0"/>
              <w:marTop w:val="30"/>
              <w:marBottom w:val="30"/>
              <w:divBdr>
                <w:top w:val="none" w:sz="0" w:space="0" w:color="auto"/>
                <w:left w:val="none" w:sz="0" w:space="0" w:color="auto"/>
                <w:bottom w:val="none" w:sz="0" w:space="0" w:color="auto"/>
                <w:right w:val="none" w:sz="0" w:space="0" w:color="auto"/>
              </w:divBdr>
              <w:divsChild>
                <w:div w:id="771629584">
                  <w:marLeft w:val="0"/>
                  <w:marRight w:val="0"/>
                  <w:marTop w:val="0"/>
                  <w:marBottom w:val="0"/>
                  <w:divBdr>
                    <w:top w:val="none" w:sz="0" w:space="0" w:color="auto"/>
                    <w:left w:val="none" w:sz="0" w:space="0" w:color="auto"/>
                    <w:bottom w:val="none" w:sz="0" w:space="0" w:color="auto"/>
                    <w:right w:val="none" w:sz="0" w:space="0" w:color="auto"/>
                  </w:divBdr>
                  <w:divsChild>
                    <w:div w:id="1275405496">
                      <w:marLeft w:val="0"/>
                      <w:marRight w:val="0"/>
                      <w:marTop w:val="0"/>
                      <w:marBottom w:val="0"/>
                      <w:divBdr>
                        <w:top w:val="none" w:sz="0" w:space="0" w:color="auto"/>
                        <w:left w:val="none" w:sz="0" w:space="0" w:color="auto"/>
                        <w:bottom w:val="none" w:sz="0" w:space="0" w:color="auto"/>
                        <w:right w:val="none" w:sz="0" w:space="0" w:color="auto"/>
                      </w:divBdr>
                    </w:div>
                  </w:divsChild>
                </w:div>
                <w:div w:id="23992057">
                  <w:marLeft w:val="0"/>
                  <w:marRight w:val="0"/>
                  <w:marTop w:val="0"/>
                  <w:marBottom w:val="0"/>
                  <w:divBdr>
                    <w:top w:val="none" w:sz="0" w:space="0" w:color="auto"/>
                    <w:left w:val="none" w:sz="0" w:space="0" w:color="auto"/>
                    <w:bottom w:val="none" w:sz="0" w:space="0" w:color="auto"/>
                    <w:right w:val="none" w:sz="0" w:space="0" w:color="auto"/>
                  </w:divBdr>
                  <w:divsChild>
                    <w:div w:id="1425305107">
                      <w:marLeft w:val="0"/>
                      <w:marRight w:val="0"/>
                      <w:marTop w:val="0"/>
                      <w:marBottom w:val="0"/>
                      <w:divBdr>
                        <w:top w:val="none" w:sz="0" w:space="0" w:color="auto"/>
                        <w:left w:val="none" w:sz="0" w:space="0" w:color="auto"/>
                        <w:bottom w:val="none" w:sz="0" w:space="0" w:color="auto"/>
                        <w:right w:val="none" w:sz="0" w:space="0" w:color="auto"/>
                      </w:divBdr>
                    </w:div>
                  </w:divsChild>
                </w:div>
                <w:div w:id="1854491977">
                  <w:marLeft w:val="0"/>
                  <w:marRight w:val="0"/>
                  <w:marTop w:val="0"/>
                  <w:marBottom w:val="0"/>
                  <w:divBdr>
                    <w:top w:val="none" w:sz="0" w:space="0" w:color="auto"/>
                    <w:left w:val="none" w:sz="0" w:space="0" w:color="auto"/>
                    <w:bottom w:val="none" w:sz="0" w:space="0" w:color="auto"/>
                    <w:right w:val="none" w:sz="0" w:space="0" w:color="auto"/>
                  </w:divBdr>
                  <w:divsChild>
                    <w:div w:id="1727410032">
                      <w:marLeft w:val="0"/>
                      <w:marRight w:val="0"/>
                      <w:marTop w:val="0"/>
                      <w:marBottom w:val="0"/>
                      <w:divBdr>
                        <w:top w:val="none" w:sz="0" w:space="0" w:color="auto"/>
                        <w:left w:val="none" w:sz="0" w:space="0" w:color="auto"/>
                        <w:bottom w:val="none" w:sz="0" w:space="0" w:color="auto"/>
                        <w:right w:val="none" w:sz="0" w:space="0" w:color="auto"/>
                      </w:divBdr>
                    </w:div>
                  </w:divsChild>
                </w:div>
                <w:div w:id="1273853962">
                  <w:marLeft w:val="0"/>
                  <w:marRight w:val="0"/>
                  <w:marTop w:val="0"/>
                  <w:marBottom w:val="0"/>
                  <w:divBdr>
                    <w:top w:val="none" w:sz="0" w:space="0" w:color="auto"/>
                    <w:left w:val="none" w:sz="0" w:space="0" w:color="auto"/>
                    <w:bottom w:val="none" w:sz="0" w:space="0" w:color="auto"/>
                    <w:right w:val="none" w:sz="0" w:space="0" w:color="auto"/>
                  </w:divBdr>
                  <w:divsChild>
                    <w:div w:id="2042391702">
                      <w:marLeft w:val="0"/>
                      <w:marRight w:val="0"/>
                      <w:marTop w:val="0"/>
                      <w:marBottom w:val="0"/>
                      <w:divBdr>
                        <w:top w:val="none" w:sz="0" w:space="0" w:color="auto"/>
                        <w:left w:val="none" w:sz="0" w:space="0" w:color="auto"/>
                        <w:bottom w:val="none" w:sz="0" w:space="0" w:color="auto"/>
                        <w:right w:val="none" w:sz="0" w:space="0" w:color="auto"/>
                      </w:divBdr>
                    </w:div>
                  </w:divsChild>
                </w:div>
                <w:div w:id="772094078">
                  <w:marLeft w:val="0"/>
                  <w:marRight w:val="0"/>
                  <w:marTop w:val="0"/>
                  <w:marBottom w:val="0"/>
                  <w:divBdr>
                    <w:top w:val="none" w:sz="0" w:space="0" w:color="auto"/>
                    <w:left w:val="none" w:sz="0" w:space="0" w:color="auto"/>
                    <w:bottom w:val="none" w:sz="0" w:space="0" w:color="auto"/>
                    <w:right w:val="none" w:sz="0" w:space="0" w:color="auto"/>
                  </w:divBdr>
                  <w:divsChild>
                    <w:div w:id="2017147876">
                      <w:marLeft w:val="0"/>
                      <w:marRight w:val="0"/>
                      <w:marTop w:val="0"/>
                      <w:marBottom w:val="0"/>
                      <w:divBdr>
                        <w:top w:val="none" w:sz="0" w:space="0" w:color="auto"/>
                        <w:left w:val="none" w:sz="0" w:space="0" w:color="auto"/>
                        <w:bottom w:val="none" w:sz="0" w:space="0" w:color="auto"/>
                        <w:right w:val="none" w:sz="0" w:space="0" w:color="auto"/>
                      </w:divBdr>
                    </w:div>
                  </w:divsChild>
                </w:div>
                <w:div w:id="1073550926">
                  <w:marLeft w:val="0"/>
                  <w:marRight w:val="0"/>
                  <w:marTop w:val="0"/>
                  <w:marBottom w:val="0"/>
                  <w:divBdr>
                    <w:top w:val="none" w:sz="0" w:space="0" w:color="auto"/>
                    <w:left w:val="none" w:sz="0" w:space="0" w:color="auto"/>
                    <w:bottom w:val="none" w:sz="0" w:space="0" w:color="auto"/>
                    <w:right w:val="none" w:sz="0" w:space="0" w:color="auto"/>
                  </w:divBdr>
                  <w:divsChild>
                    <w:div w:id="1215777292">
                      <w:marLeft w:val="0"/>
                      <w:marRight w:val="0"/>
                      <w:marTop w:val="0"/>
                      <w:marBottom w:val="0"/>
                      <w:divBdr>
                        <w:top w:val="none" w:sz="0" w:space="0" w:color="auto"/>
                        <w:left w:val="none" w:sz="0" w:space="0" w:color="auto"/>
                        <w:bottom w:val="none" w:sz="0" w:space="0" w:color="auto"/>
                        <w:right w:val="none" w:sz="0" w:space="0" w:color="auto"/>
                      </w:divBdr>
                    </w:div>
                    <w:div w:id="1342900975">
                      <w:marLeft w:val="0"/>
                      <w:marRight w:val="0"/>
                      <w:marTop w:val="0"/>
                      <w:marBottom w:val="0"/>
                      <w:divBdr>
                        <w:top w:val="none" w:sz="0" w:space="0" w:color="auto"/>
                        <w:left w:val="none" w:sz="0" w:space="0" w:color="auto"/>
                        <w:bottom w:val="none" w:sz="0" w:space="0" w:color="auto"/>
                        <w:right w:val="none" w:sz="0" w:space="0" w:color="auto"/>
                      </w:divBdr>
                    </w:div>
                    <w:div w:id="83769046">
                      <w:marLeft w:val="0"/>
                      <w:marRight w:val="0"/>
                      <w:marTop w:val="0"/>
                      <w:marBottom w:val="0"/>
                      <w:divBdr>
                        <w:top w:val="none" w:sz="0" w:space="0" w:color="auto"/>
                        <w:left w:val="none" w:sz="0" w:space="0" w:color="auto"/>
                        <w:bottom w:val="none" w:sz="0" w:space="0" w:color="auto"/>
                        <w:right w:val="none" w:sz="0" w:space="0" w:color="auto"/>
                      </w:divBdr>
                    </w:div>
                  </w:divsChild>
                </w:div>
                <w:div w:id="2095470064">
                  <w:marLeft w:val="0"/>
                  <w:marRight w:val="0"/>
                  <w:marTop w:val="0"/>
                  <w:marBottom w:val="0"/>
                  <w:divBdr>
                    <w:top w:val="none" w:sz="0" w:space="0" w:color="auto"/>
                    <w:left w:val="none" w:sz="0" w:space="0" w:color="auto"/>
                    <w:bottom w:val="none" w:sz="0" w:space="0" w:color="auto"/>
                    <w:right w:val="none" w:sz="0" w:space="0" w:color="auto"/>
                  </w:divBdr>
                  <w:divsChild>
                    <w:div w:id="993678512">
                      <w:marLeft w:val="0"/>
                      <w:marRight w:val="0"/>
                      <w:marTop w:val="0"/>
                      <w:marBottom w:val="0"/>
                      <w:divBdr>
                        <w:top w:val="none" w:sz="0" w:space="0" w:color="auto"/>
                        <w:left w:val="none" w:sz="0" w:space="0" w:color="auto"/>
                        <w:bottom w:val="none" w:sz="0" w:space="0" w:color="auto"/>
                        <w:right w:val="none" w:sz="0" w:space="0" w:color="auto"/>
                      </w:divBdr>
                    </w:div>
                  </w:divsChild>
                </w:div>
                <w:div w:id="1417288942">
                  <w:marLeft w:val="0"/>
                  <w:marRight w:val="0"/>
                  <w:marTop w:val="0"/>
                  <w:marBottom w:val="0"/>
                  <w:divBdr>
                    <w:top w:val="none" w:sz="0" w:space="0" w:color="auto"/>
                    <w:left w:val="none" w:sz="0" w:space="0" w:color="auto"/>
                    <w:bottom w:val="none" w:sz="0" w:space="0" w:color="auto"/>
                    <w:right w:val="none" w:sz="0" w:space="0" w:color="auto"/>
                  </w:divBdr>
                  <w:divsChild>
                    <w:div w:id="1519948">
                      <w:marLeft w:val="0"/>
                      <w:marRight w:val="0"/>
                      <w:marTop w:val="0"/>
                      <w:marBottom w:val="0"/>
                      <w:divBdr>
                        <w:top w:val="none" w:sz="0" w:space="0" w:color="auto"/>
                        <w:left w:val="none" w:sz="0" w:space="0" w:color="auto"/>
                        <w:bottom w:val="none" w:sz="0" w:space="0" w:color="auto"/>
                        <w:right w:val="none" w:sz="0" w:space="0" w:color="auto"/>
                      </w:divBdr>
                    </w:div>
                  </w:divsChild>
                </w:div>
                <w:div w:id="1331371352">
                  <w:marLeft w:val="0"/>
                  <w:marRight w:val="0"/>
                  <w:marTop w:val="0"/>
                  <w:marBottom w:val="0"/>
                  <w:divBdr>
                    <w:top w:val="none" w:sz="0" w:space="0" w:color="auto"/>
                    <w:left w:val="none" w:sz="0" w:space="0" w:color="auto"/>
                    <w:bottom w:val="none" w:sz="0" w:space="0" w:color="auto"/>
                    <w:right w:val="none" w:sz="0" w:space="0" w:color="auto"/>
                  </w:divBdr>
                  <w:divsChild>
                    <w:div w:id="154081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520</Words>
  <Characters>3049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Meeting:</vt:lpstr>
    </vt:vector>
  </TitlesOfParts>
  <Company>Harrow Council</Company>
  <LinksUpToDate>false</LinksUpToDate>
  <CharactersWithSpaces>3562</CharactersWithSpaces>
  <SharedDoc>false</SharedDoc>
  <HLinks>
    <vt:vector size="12" baseType="variant">
      <vt:variant>
        <vt:i4>3211339</vt:i4>
      </vt:variant>
      <vt:variant>
        <vt:i4>3</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0</vt:i4>
      </vt:variant>
      <vt:variant>
        <vt:i4>0</vt:i4>
      </vt:variant>
      <vt:variant>
        <vt:i4>5</vt:i4>
      </vt:variant>
      <vt:variant>
        <vt:lpwstr>https://harrowhub.harrow.gov.uk/downloads/file/9714/committee_report_templates_-_implications_guidance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Harrow IT Services</dc:creator>
  <cp:lastModifiedBy>Daksha Ghelani</cp:lastModifiedBy>
  <cp:revision>3</cp:revision>
  <cp:lastPrinted>2007-07-12T09:53:00Z</cp:lastPrinted>
  <dcterms:created xsi:type="dcterms:W3CDTF">2021-11-25T09:25:00Z</dcterms:created>
  <dcterms:modified xsi:type="dcterms:W3CDTF">2021-11-25T09:38:00Z</dcterms:modified>
</cp:coreProperties>
</file>